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/>
      </w:pPr>
      <w:r>
        <w:rPr>
          <w:b/>
          <w:bCs/>
          <w:color w:val="002060"/>
          <w:sz w:val="26"/>
          <w:szCs w:val="26"/>
        </w:rPr>
        <w:t xml:space="preserve">                                                                                                                                                                </w:t>
      </w:r>
      <w:r>
        <w:rPr>
          <w:b/>
          <w:bCs/>
          <w:color w:val="002060"/>
          <w:sz w:val="26"/>
          <w:szCs w:val="26"/>
        </w:rPr>
        <w:t xml:space="preserve">16.09.2019г.                                            </w:t>
      </w:r>
      <w:r>
        <w:rPr>
          <w:b/>
          <w:bCs/>
          <w:color w:val="002060"/>
          <w:sz w:val="26"/>
          <w:szCs w:val="26"/>
        </w:rPr>
        <w:t>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ind w:firstLine="709"/>
        <w:jc w:val="both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С выбором необходимо определиться до 1 октября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У новосибирских льготников осталось меньше месяца, чтобы определиться со способом получения набора соцуслуг в 2020 году.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Как показывает статистика, на сегодняшний день в нашем регионе проживают 224,7 тыс. федеральных льготников, которые имеют право на получение ежемесячной денежной выплаты (ЕДВ) и набора соцуслуг (НСУ). К данной категории граждан относятся инвалиды и участники войны, ветераны боевых действий, лица, признанные в установленном порядке инвалидами и т.д. Ежегодно, до 1 октября, они имеют  право выбирать способ получения набора соцуслуг в следующем году: в натуральном виде или в денежном эквиваленте.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Стоимость набора соцуслуг ежегодно индексируется и с 1 февраля 2019 года составляет 1 121,42 руб. в месяц. В него входят: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•</w:t>
      </w:r>
      <w:r>
        <w:rPr>
          <w:sz w:val="26"/>
          <w:szCs w:val="26"/>
        </w:rPr>
        <w:tab/>
        <w:t xml:space="preserve">обеспечение по рецептам врача (фельдшера) необходимыми лекарственными препаратами, изделиями медицинского назначения, а также специализированными продуктами лечебного питания для детей-инвалидов;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•</w:t>
      </w:r>
      <w:r>
        <w:rPr>
          <w:sz w:val="26"/>
          <w:szCs w:val="26"/>
        </w:rPr>
        <w:tab/>
        <w:t>предоставление (при наличии медицинских показаний) путевки на санаторно-курортное лечение, осуществляемое в целях профилактики основных заболеваний;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•</w:t>
      </w:r>
      <w:r>
        <w:rPr>
          <w:sz w:val="26"/>
          <w:szCs w:val="26"/>
        </w:rPr>
        <w:tab/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Выбрать денежный эквивалент можно как вместо всего набора, так и вместо одной (или двух) из его частей. При этом следует учитывать, что иногда выгоднее получать набор социальных услуг именно в натуральной форме.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Если человек уже подавал заявление и не хочет менять способ получения набора соцуслуг, то обращаться в Пенсионный фонд не нужно. Если же принято решение изменить форму получения (отказаться от соцпакета или, наоборот, возобновить его получение) в этом случае необходимо подать соответствующее заявление.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Также напоминаем, что при установлении ежемесячной денежной выплаты в первый год соцпакет предоставляется в натуральном виде «автоматически» (за исключением граждан, пострадавших в радиационных и техногенных катастрофах).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Заявление о способе получения набора соцуслуг (о предоставлении набора, об отказе от него или возобновлении его предоставления) можно подать в клиентской службе ПФР и в филиалах МФЦ, а также в электронном виде через сайт ПФР или портал госуслуг.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Обращаем внимание, что если гражданин уже подавал в текущем году заявление о способе получения соцпакета, но по каким-то причинам передумал, то у него есть возможность «заявить» об этом, т.е. отозвать ранее поданное заявления о форме предоставления НСУ.  Сделать это можно в электронном виде через сайт Пенсионного фонда России, либо обратившись в территориальный орган ПФР.  Выбор также необходимо сделать до 1 октября.  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0" w:after="0"/>
        <w:ind w:firstLine="426"/>
        <w:jc w:val="both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overflowPunct w:val="fals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val="ru-RU" w:eastAsia="ar-SA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overflowPunct w:val="fals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val="ru-RU" w:eastAsia="ar-SA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overflowPunct w:val="fals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val="ru-RU" w:eastAsia="ar-SA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overflowPunct w:val="fals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overflowPunct w:val="false"/>
      <w:bidi w:val="0"/>
      <w:jc w:val="left"/>
    </w:pPr>
    <w:rPr>
      <w:rFonts w:ascii="Arial" w:hAnsi="Arial" w:eastAsia="NSimSun" w:cs="Arial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1199F1-2626-4406-A423-9D8D3CFBF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3408</TotalTime>
  <Application>LibreOffice/6.3.1.2$Windows_x86 LibreOffice_project/b79626edf0065ac373bd1df5c28bd630b4424273</Application>
  <Pages>2</Pages>
  <Words>382</Words>
  <Characters>2431</Characters>
  <CharactersWithSpaces>3008</CharactersWithSpaces>
  <Paragraphs>15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2019-09-06T05:31:00Z</cp:lastPrinted>
  <dcterms:modified xsi:type="dcterms:W3CDTF">2019-09-14T17:38:17Z</dcterms:modified>
  <cp:revision>301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