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80" w:after="0"/>
        <w:ind w:left="0" w:right="0" w:hanging="0"/>
        <w:rPr>
          <w:b/>
          <w:b/>
          <w:bCs/>
        </w:rPr>
      </w:pPr>
      <w:r>
        <w:rPr>
          <w:b/>
          <w:bCs/>
        </w:rPr>
        <w:t>15</w:t>
      </w:r>
      <w:r>
        <w:rPr>
          <w:b/>
          <w:bCs/>
        </w:rPr>
        <w:t xml:space="preserve">.07.2019г.                                                 </w:t>
      </w:r>
      <w:r>
        <w:rPr>
          <w:b/>
          <w:bCs/>
        </w:rPr>
        <w:t>т.42-226</w:t>
      </w:r>
      <w:r>
        <w:rPr>
          <w:b/>
          <w:bCs/>
        </w:rPr>
        <w:t xml:space="preserve">    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Еще больше селян могут получить надбавку к пенсии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Список работ, профессий, в соответствии с которым устанавливается повышенная фиксированная выплата к пенсии селянам,  расширен. 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Правительства* обновлен и расширен перечень производств, профессий, должностей, специальностей сельского хозяйства для установления повышенного размера фиксированной выплаты к страховой пенсии.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с начала текущего года вступил в силу Закон, согласно которому неработающие пенсионеры, проработавшие в сельском хозяйстве не менее 30 лет и проживающие в сельской местности, имеют право на повышение фиксированной выплаты в размере 25% к страховой пенсии. Это касается получателей страховой пенсии по старости и по инвалидности. В список работ, производств, профессий и должностей, в соответствии с которым устанавливается повышенная фиксированная выплата селянам, входило более 500 профессий. При этом в стаж  включается не любая работа, а только работа в определенном  производстве – это растениеводство, животноводство и рыбоводство.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Теперь упорядочена структура списка в части взаимосвязи наименования профессий, должностей и специальностей либо с организацией, основным видом деятельности которых является сельское хозяйство, либо с сельскохозяйственным структурным подразделением организации, не являющейся по основному виду деятельности сельскохозяйственной.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список включены  такие должности как врач-эпизоотолог, диспетчер, лаборант, а также индивидуальные предприниматели, являющиеся сельскохозяйственными товаропроизводителями и т.д.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в Новосибирской области повышенную фиксированную выплату в размере 25% получают 20 802 сельских жителя. Ее размер составляет 6 667 руб. 74 коп. (общеустановленная фиксированная выплата – 5 334руб.19 коп).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связи с последними законодательными изменениями органы ПФР региона в настоящее время проводят работу по выявлению лиц, которым также может быть пересчитана пенсия. При наличии права данный перерасчет им будет произведен с 1 января 2019 года.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Перерасчет носит беззаявительный характер: по документам, которые есть в выплатном деле пенсионера. В этом случае ПФР осуществляет  перерасчет не позднее 1 сентября 2019 года. Но пенсионер вправе в любое время представить дополнительные документы, необходимые для перерасчета.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пенсионер обратится за перерасчетом до 31 декабря 2019 года, указанный перерасчет осуществляется с 1 января 2019 года. Если же пенсионер обратится за перерасчетом после 31 декабря 2019 года, указанный перерасчет осуществляется со следующего месяца после подачи заявления  с необходимыми для перерасчета документами.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i/>
          <w:sz w:val="26"/>
          <w:szCs w:val="26"/>
        </w:rPr>
        <w:t>*  Постановление Правительства РФ от 25.06.2019  № 805  "О внесении изменений в 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инвалидности, в соответствии с частью 14 статьи 17 Федерального закона «О страховых пенсиях».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EE930-1485-4652-85B1-25DBFAE3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Application>LibreOffice/6.2.4.2$Windows_x86 LibreOffice_project/2412653d852ce75f65fbfa83fb7e7b669a126d64</Application>
  <Pages>2</Pages>
  <Words>399</Words>
  <Characters>2719</Characters>
  <CharactersWithSpaces>3172</CharactersWithSpaces>
  <Paragraphs>13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2019-07-09T02:06:00Z</cp:lastPrinted>
  <dcterms:modified xsi:type="dcterms:W3CDTF">2019-07-14T13:03:39Z</dcterms:modified>
  <cp:revision>118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