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2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  <mc:AlternateContent>
          <mc:Choice Requires="wps">
            <w:drawing>
              <wp:anchor behindDoc="0" distT="0" distB="635" distL="0" distR="0" simplePos="0" locked="0" layoutInCell="1" allowOverlap="1" relativeHeight="2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2305" cy="562610"/>
                <wp:effectExtent l="0" t="0" r="0" b="0"/>
                <wp:wrapNone/>
                <wp:docPr id="1" name="Text Box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680" cy="561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Text Box 2" fillcolor="white" stroked="f" style="position:absolute;margin-left:-6pt;margin-top:-27pt;width:52.05pt;height:44.2pt">
                <w10:wrap type="none"/>
                <v:fill o:detectmouseclick="t" type="solid" color2="black"/>
                <v:stroke color="#3465a4" joinstyle="round" endcap="flat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670" cy="561975"/>
                <wp:effectExtent l="0" t="0" r="0" b="635"/>
                <wp:wrapNone/>
                <wp:docPr id="2" name="Text Box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0960" cy="561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9"/>
                              <w:spacing w:before="0" w:after="120"/>
                              <w:rPr/>
                            </w:pPr>
                            <w:r>
                              <w:rPr/>
                              <w:drawing>
                                <wp:inline distT="0" distB="0" distL="0" distR="0">
                                  <wp:extent cx="659130" cy="563245"/>
                                  <wp:effectExtent l="0" t="0" r="0" b="0"/>
                                  <wp:docPr id="4" name="Рисунок 1" descr="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Рисунок 1" descr="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2" fillcolor="white" stroked="f" style="position:absolute;margin-left:-6pt;margin-top:-27pt;width:52pt;height:44.15pt">
                <w10:wrap type="non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Style29"/>
                        <w:spacing w:before="0" w:after="120"/>
                        <w:rPr/>
                      </w:pPr>
                      <w:r>
                        <w:rPr/>
                        <w:drawing>
                          <wp:inline distT="0" distB="0" distL="0" distR="0">
                            <wp:extent cx="659130" cy="563245"/>
                            <wp:effectExtent l="0" t="0" r="0" b="0"/>
                            <wp:docPr id="5" name="Рисунок 1" descr="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Рисунок 1" descr="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0" distR="0" simplePos="0" locked="0" layoutInCell="1" allowOverlap="1" relativeHeight="6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2305" cy="562610"/>
                <wp:effectExtent l="0" t="0" r="0" b="0"/>
                <wp:wrapNone/>
                <wp:docPr id="6" name="Врезка1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305" cy="562610"/>
                        </a:xfrm>
                        <a:prstGeom prst="rect"/>
                      </wps:spPr>
                      <wps:txbx>
                        <w:txbxContent>
                          <w:p>
                            <w:pPr>
                              <w:pStyle w:val="Style29"/>
                              <w:spacing w:before="0" w:after="12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0" t="0" r="0" b="0"/>
                                  <wp:docPr id="7" name="Изображение1" descr="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Изображение1" descr="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52.15pt;height:44.3pt;mso-wrap-distance-left:0pt;mso-wrap-distance-right:0pt;mso-wrap-distance-top:5.7pt;mso-wrap-distance-bottom:5.7pt;margin-top:-27pt;mso-position-vertical-relative:text;margin-left:-6pt;mso-position-horizontal-relative:text">
                <v:textbox inset="0in,0in,0in,0in">
                  <w:txbxContent>
                    <w:p>
                      <w:pPr>
                        <w:pStyle w:val="Style29"/>
                        <w:spacing w:before="0" w:after="12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drawing>
                          <wp:inline distT="0" distB="0" distL="0" distR="0">
                            <wp:extent cx="659130" cy="563245"/>
                            <wp:effectExtent l="0" t="0" r="0" b="0"/>
                            <wp:docPr id="8" name="Изображение1" descr="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" name="Изображение1" descr="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pBdr>
          <w:bottom w:val="single" w:sz="6" w:space="1" w:color="000000"/>
        </w:pBdr>
        <w:bidi w:val="0"/>
        <w:spacing w:before="278" w:after="0"/>
        <w:ind w:left="0" w:right="0" w:hanging="0"/>
        <w:jc w:val="center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>16</w:t>
      </w:r>
      <w:r>
        <w:rPr>
          <w:b/>
          <w:bCs/>
          <w:color w:val="002060"/>
          <w:sz w:val="26"/>
          <w:szCs w:val="26"/>
        </w:rPr>
        <w:t xml:space="preserve">.12.2019г.                                                                                                                    т.42-226  </w:t>
      </w:r>
    </w:p>
    <w:p>
      <w:pPr>
        <w:pStyle w:val="Normal"/>
        <w:ind w:firstLine="540"/>
        <w:jc w:val="both"/>
        <w:rPr>
          <w:b/>
          <w:b/>
          <w:sz w:val="26"/>
          <w:szCs w:val="26"/>
        </w:rPr>
      </w:pPr>
      <w:r>
        <w:rPr/>
      </w:r>
    </w:p>
    <w:p>
      <w:pPr>
        <w:pStyle w:val="Normal"/>
        <w:ind w:firstLine="540"/>
        <w:jc w:val="center"/>
        <w:rPr/>
      </w:pPr>
      <w:r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П</w:t>
      </w:r>
      <w:r>
        <w:rPr>
          <w:b/>
          <w:sz w:val="26"/>
          <w:szCs w:val="26"/>
        </w:rPr>
        <w:t>раво на досрочн</w:t>
      </w:r>
      <w:r>
        <w:rPr>
          <w:b/>
          <w:sz w:val="26"/>
          <w:szCs w:val="26"/>
        </w:rPr>
        <w:t>ую</w:t>
      </w:r>
      <w:r>
        <w:rPr>
          <w:b/>
          <w:sz w:val="26"/>
          <w:szCs w:val="26"/>
        </w:rPr>
        <w:t xml:space="preserve"> пенси</w:t>
      </w:r>
      <w:r>
        <w:rPr>
          <w:b/>
          <w:sz w:val="26"/>
          <w:szCs w:val="26"/>
        </w:rPr>
        <w:t>ю</w:t>
      </w:r>
    </w:p>
    <w:p>
      <w:pPr>
        <w:pStyle w:val="Normal"/>
        <w:ind w:firstLine="54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firstLine="567"/>
        <w:jc w:val="both"/>
        <w:rPr>
          <w:b/>
          <w:b/>
          <w:i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Вопросы реализации на территории региона прав граждан на установление досрочных страховых пенсий обсудили в ЗакСобрании Новосибирской области.</w:t>
      </w:r>
    </w:p>
    <w:p>
      <w:pPr>
        <w:pStyle w:val="Normal"/>
        <w:ind w:firstLine="360"/>
        <w:jc w:val="both"/>
        <w:rPr>
          <w:b/>
          <w:b/>
          <w:i/>
          <w:i/>
          <w:spacing w:val="4"/>
          <w:sz w:val="16"/>
          <w:szCs w:val="16"/>
        </w:rPr>
      </w:pPr>
      <w:r>
        <w:rPr>
          <w:b/>
          <w:i/>
          <w:spacing w:val="4"/>
          <w:sz w:val="16"/>
          <w:szCs w:val="16"/>
        </w:rPr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«В нашем регионе, - отметила заместитель управляющего Отделением ПФР по Новосибирской области Людмила Якушенко, принимавшая участие в заседании Комитета по социальной политике, здравоохранению, охране труда и занятости населения, - каждая четвертая назначаемая пенсия – досрочная, то есть устанавливается льготным категориям граждан ранее общеустановленного пенсионного возраста. На сегодняшний день получателями таких пенсий являются почти 17</w:t>
      </w:r>
      <w:bookmarkStart w:id="0" w:name="_GoBack"/>
      <w:bookmarkEnd w:id="0"/>
      <w:r>
        <w:rPr>
          <w:sz w:val="26"/>
          <w:szCs w:val="26"/>
          <w:lang w:eastAsia="ru-RU"/>
        </w:rPr>
        <w:t>0 тысяч жителей Новосибирской области».</w:t>
      </w:r>
    </w:p>
    <w:p>
      <w:pPr>
        <w:pStyle w:val="Normal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Правом на досрочную пенсию, подчеркнула Людмила Алексеевна, -  обладают определенные профессиональные и социальные категории граждан. </w:t>
      </w:r>
    </w:p>
    <w:p>
      <w:pPr>
        <w:pStyle w:val="Normal"/>
        <w:ind w:firstLine="426"/>
        <w:jc w:val="both"/>
        <w:rPr>
          <w:spacing w:val="4"/>
          <w:sz w:val="26"/>
          <w:szCs w:val="26"/>
        </w:rPr>
      </w:pPr>
      <w:r>
        <w:rPr>
          <w:sz w:val="26"/>
          <w:szCs w:val="26"/>
        </w:rPr>
        <w:t xml:space="preserve">«Изменения пенсионного законодательства в части срока выхода на пенсию, вступившие в действие с 1 января 2019 года, - пояснила представитель Пенсионного фонда, - не коснулись целого ряда категорий граждан, которым предоставлено право на назначение пенсии по старости досрочно. Досрочный выход на пенсию сохранился полностью без изменений для работников, занятых во вредных и опасных условиях труда. В отношении данной категории льготников важно помнить их работодателям, что для определенных профессиональных категорий периоды работы, начиная с 2013 года, засчитываются в стаж </w:t>
      </w:r>
      <w:r>
        <w:rPr>
          <w:sz w:val="26"/>
          <w:szCs w:val="26"/>
          <w:u w:val="single"/>
        </w:rPr>
        <w:t xml:space="preserve">только при уплате </w:t>
      </w:r>
      <w:r>
        <w:rPr>
          <w:sz w:val="26"/>
          <w:szCs w:val="26"/>
        </w:rPr>
        <w:t>страховых взносов по дополнительному тарифу</w:t>
      </w:r>
      <w:r>
        <w:rPr>
          <w:spacing w:val="4"/>
          <w:sz w:val="26"/>
          <w:szCs w:val="26"/>
        </w:rPr>
        <w:t xml:space="preserve">. Неизменным возраст выхода на пенсию остался и для  граждан, пострадавших в результате радиационных или техногенных катастроф, а также для </w:t>
      </w:r>
      <w:r>
        <w:rPr>
          <w:sz w:val="26"/>
          <w:szCs w:val="26"/>
        </w:rPr>
        <w:t xml:space="preserve">летчиков-испытателей. </w:t>
      </w:r>
      <w:r>
        <w:rPr>
          <w:spacing w:val="4"/>
          <w:sz w:val="26"/>
          <w:szCs w:val="26"/>
        </w:rPr>
        <w:t xml:space="preserve">Пенсионный возраст также не изменился и для лиц, которым пенсия назначается досрочно по социальным мотивам. Речь идет о женщинах, воспитавших 5 и более детей; родителях и опекунах инвалидов с детства, и ряде других категорий». </w:t>
      </w:r>
    </w:p>
    <w:p>
      <w:pPr>
        <w:pStyle w:val="Normal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Отдельное внимание было уделено вопросу установления пенсии пед и мед работникам, которым установлен отложенный на 5 лет выход на пенсию после выработки спецстажа. </w:t>
      </w:r>
    </w:p>
    <w:p>
      <w:pPr>
        <w:pStyle w:val="Normal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Обсудили и то, как реализуются нормы Закона о введении новых оснований для установления страховых пенсий досрочно. К таким, например, относится досрочная пенсия за большой стаж (женщинам, имеющим страховой стаж 37 лет, и мужчинам, имеющим стаж 42 года). «В нашем регионе уже 183-м гражданам установлена досрочная пенсия за «большой» стаж. Мы обращаем внимание, что в стаж для этой пенсии учитываются только периоды работы или периоды временной нетрудоспособности. Так называемые нестраховые периоды, то есть, например, служба в армии или уход за детьми в «большой» стаж не входят». </w:t>
      </w:r>
    </w:p>
    <w:p>
      <w:pPr>
        <w:pStyle w:val="Normal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«Пенсионный фонд, - подчеркнула в завершении выступления Людмила Якушенко, - проводит заблаговременную работу с категориями «льготников», чтобы их пенсионные права были своевременно реализованы. С этой же целью мы заключаем Соглашения с работодателями и получаем информацию о будущих пенсионерах в рамках электронного взаимодействия». </w:t>
      </w:r>
    </w:p>
    <w:p>
      <w:pPr>
        <w:pStyle w:val="Normal"/>
        <w:ind w:firstLine="426"/>
        <w:jc w:val="both"/>
        <w:rPr/>
      </w:pPr>
      <w:r>
        <w:rPr/>
      </w:r>
    </w:p>
    <w:sectPr>
      <w:type w:val="nextPage"/>
      <w:pgSz w:w="11906" w:h="16838"/>
      <w:pgMar w:left="1134" w:right="851" w:header="0" w:top="907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Cambria">
    <w:charset w:val="cc"/>
    <w:family w:val="roman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24" w:customStyle="1">
    <w:name w:val="Основной текст (2)_"/>
    <w:link w:val="27"/>
    <w:qFormat/>
    <w:locked/>
    <w:rsid w:val="00c35401"/>
    <w:rPr>
      <w:sz w:val="28"/>
      <w:szCs w:val="28"/>
      <w:shd w:fill="FFFFFF" w:val="clear"/>
    </w:rPr>
  </w:style>
  <w:style w:type="character" w:styleId="Z">
    <w:name w:val="z-Начало формы Знак"/>
    <w:basedOn w:val="DefaultParagraphFont"/>
    <w:qFormat/>
    <w:rPr>
      <w:rFonts w:ascii="Arial" w:hAnsi="Arial" w:cs="Arial"/>
      <w:vanish/>
      <w:sz w:val="16"/>
      <w:szCs w:val="16"/>
    </w:rPr>
  </w:style>
  <w:style w:type="character" w:styleId="Dashed">
    <w:name w:val="dashed"/>
    <w:basedOn w:val="DefaultParagraphFont"/>
    <w:qFormat/>
    <w:rPr/>
  </w:style>
  <w:style w:type="character" w:styleId="Z1">
    <w:name w:val="z-Конец формы Знак"/>
    <w:basedOn w:val="DefaultParagraphFont"/>
    <w:qFormat/>
    <w:rPr>
      <w:rFonts w:ascii="Arial" w:hAnsi="Arial" w:cs="Arial"/>
      <w:vanish/>
      <w:sz w:val="16"/>
      <w:szCs w:val="16"/>
    </w:rPr>
  </w:style>
  <w:style w:type="character" w:styleId="10pt">
    <w:name w:val="Основной текст + 10 pt"/>
    <w:basedOn w:val="DefaultParagraphFont"/>
    <w:qFormat/>
    <w:rPr>
      <w:rFonts w:ascii="Calibri" w:hAnsi="Calibri" w:eastAsia="Calibri" w:cs="Calibri"/>
      <w:i w:val="false"/>
      <w:iCs w:val="false"/>
      <w:caps w:val="false"/>
      <w:smallCaps w:val="false"/>
      <w:color w:val="000000"/>
      <w:spacing w:val="0"/>
      <w:w w:val="100"/>
      <w:sz w:val="20"/>
      <w:szCs w:val="20"/>
      <w:highlight w:val="white"/>
      <w:lang w:val="ru-RU" w:eastAsia="ru-RU" w:bidi="ru-RU"/>
    </w:rPr>
  </w:style>
  <w:style w:type="character" w:styleId="Style17">
    <w:name w:val="Подзаголовок Знак"/>
    <w:basedOn w:val="DefaultParagraphFont"/>
    <w:qFormat/>
    <w:rPr>
      <w:rFonts w:ascii="Cambria" w:hAnsi="Cambria" w:eastAsia="NSimSun" w:cs="Mangal"/>
      <w:i/>
      <w:iCs/>
      <w:color w:val="4F81BD"/>
      <w:spacing w:val="15"/>
      <w:sz w:val="24"/>
      <w:szCs w:val="24"/>
      <w:lang w:eastAsia="ru-RU"/>
    </w:rPr>
  </w:style>
  <w:style w:type="character" w:styleId="Style18">
    <w:name w:val="Название Знак"/>
    <w:basedOn w:val="DefaultParagraphFont"/>
    <w:qFormat/>
    <w:rPr>
      <w:rFonts w:ascii="Times New Roman" w:hAnsi="Times New Roman" w:eastAsia="Times New Roman" w:cs="Times New Roman"/>
      <w:b/>
      <w:bCs/>
      <w:sz w:val="28"/>
      <w:szCs w:val="24"/>
      <w:lang w:eastAsia="ar-SA"/>
    </w:rPr>
  </w:style>
  <w:style w:type="character" w:styleId="Style19">
    <w:name w:val="Текст выноски Знак"/>
    <w:basedOn w:val="DefaultParagraphFont"/>
    <w:qFormat/>
    <w:rPr>
      <w:rFonts w:ascii="Tahoma" w:hAnsi="Tahoma" w:eastAsia="Times New Roman" w:cs="Tahoma"/>
      <w:sz w:val="16"/>
      <w:szCs w:val="16"/>
      <w:lang w:eastAsia="ru-RU"/>
    </w:rPr>
  </w:style>
  <w:style w:type="paragraph" w:styleId="Style20" w:customStyle="1">
    <w:name w:val="Заголовок"/>
    <w:basedOn w:val="Normal"/>
    <w:next w:val="Style21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21">
    <w:name w:val="Body Text"/>
    <w:basedOn w:val="Normal"/>
    <w:link w:val="aa"/>
    <w:pPr>
      <w:spacing w:before="0" w:after="120"/>
    </w:pPr>
    <w:rPr/>
  </w:style>
  <w:style w:type="paragraph" w:styleId="Style22">
    <w:name w:val="List"/>
    <w:basedOn w:val="Style21"/>
    <w:pPr/>
    <w:rPr>
      <w:rFonts w:ascii="Arial" w:hAnsi="Arial" w:cs="Mang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5">
    <w:name w:val="Title"/>
    <w:basedOn w:val="Normal"/>
    <w:next w:val="Style26"/>
    <w:qFormat/>
    <w:pPr>
      <w:jc w:val="center"/>
    </w:pPr>
    <w:rPr>
      <w:b/>
      <w:bCs/>
      <w:sz w:val="28"/>
    </w:rPr>
  </w:style>
  <w:style w:type="paragraph" w:styleId="Style26">
    <w:name w:val="Subtitle"/>
    <w:basedOn w:val="Style20"/>
    <w:next w:val="Style21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7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uiPriority w:val="99"/>
    <w:qFormat/>
    <w:pPr>
      <w:spacing w:lineRule="auto" w:line="480" w:before="0" w:after="120"/>
    </w:pPr>
    <w:rPr/>
  </w:style>
  <w:style w:type="paragraph" w:styleId="Style28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9" w:customStyle="1">
    <w:name w:val="Содержимое врезки"/>
    <w:basedOn w:val="Style21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30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25" w:customStyle="1">
    <w:name w:val="Основной текст (2)"/>
    <w:basedOn w:val="Normal"/>
    <w:link w:val="26"/>
    <w:qFormat/>
    <w:rsid w:val="00c35401"/>
    <w:pPr>
      <w:widowControl w:val="false"/>
      <w:shd w:val="clear" w:color="auto" w:fill="FFFFFF"/>
      <w:suppressAutoHyphens w:val="false"/>
      <w:spacing w:lineRule="exact" w:line="317" w:before="360" w:after="0"/>
      <w:jc w:val="both"/>
    </w:pPr>
    <w:rPr>
      <w:sz w:val="28"/>
      <w:szCs w:val="28"/>
      <w:lang w:eastAsia="ru-RU"/>
    </w:rPr>
  </w:style>
  <w:style w:type="paragraph" w:styleId="HTMLTopofForm">
    <w:name w:val="HTML Top of Form"/>
    <w:basedOn w:val="Normal"/>
    <w:next w:val="Normal"/>
    <w:qFormat/>
    <w:pPr>
      <w:pBdr>
        <w:bottom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TMLBottomofForm">
    <w:name w:val="HTML Bottom of Form"/>
    <w:basedOn w:val="Normal"/>
    <w:next w:val="Normal"/>
    <w:qFormat/>
    <w:pPr>
      <w:pBdr>
        <w:top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idden">
    <w:name w:val="hidden"/>
    <w:basedOn w:val="Normal"/>
    <w:qFormat/>
    <w:pPr>
      <w:suppressAutoHyphens w:val="false"/>
      <w:spacing w:before="0" w:after="150"/>
    </w:pPr>
    <w:rPr>
      <w:lang w:eastAsia="ru-RU"/>
    </w:rPr>
  </w:style>
  <w:style w:type="paragraph" w:styleId="DocumentMap">
    <w:name w:val="DocumentMap"/>
    <w:qFormat/>
    <w:pPr>
      <w:widowControl/>
      <w:kinsoku w:val="true"/>
      <w:overflowPunct w:val="true"/>
      <w:autoSpaceDE w:val="true"/>
      <w:bidi w:val="0"/>
      <w:spacing w:lineRule="auto" w:line="276" w:before="0" w:after="20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paragraph" w:styleId="Western">
    <w:name w:val="western"/>
    <w:basedOn w:val="Normal"/>
    <w:qFormat/>
    <w:pPr>
      <w:spacing w:before="280" w:after="119"/>
    </w:pPr>
    <w:rPr>
      <w:color w:val="00000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DAF806-BE5E-4A19-8C0B-3F04EF8A2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1502</TotalTime>
  <Application>LibreOffice/6.3.3.2$Windows_x86 LibreOffice_project/a64200df03143b798afd1ec74a12ab50359878ed</Application>
  <Pages>1</Pages>
  <Words>399</Words>
  <Characters>2620</Characters>
  <CharactersWithSpaces>3135</CharactersWithSpaces>
  <Paragraphs>12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2019-10-31T02:52:00Z</dcterms:created>
  <dc:creator>OPFR</dc:creator>
  <dc:description/>
  <dc:language>ru-RU</dc:language>
  <cp:lastModifiedBy/>
  <cp:lastPrinted>2019-02-25T08:14:00Z</cp:lastPrinted>
  <dcterms:modified xsi:type="dcterms:W3CDTF">2019-12-15T15:50:50Z</dcterms:modified>
  <cp:revision>79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