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10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80" w:after="0"/>
        <w:ind w:left="0" w:right="0" w:hanging="0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>0</w:t>
      </w:r>
      <w:r>
        <w:rPr>
          <w:b/>
          <w:bCs/>
          <w:color w:val="002060"/>
          <w:sz w:val="26"/>
          <w:szCs w:val="26"/>
        </w:rPr>
        <w:t>9</w:t>
      </w:r>
      <w:r>
        <w:rPr>
          <w:b/>
          <w:bCs/>
          <w:color w:val="002060"/>
          <w:sz w:val="26"/>
          <w:szCs w:val="26"/>
        </w:rPr>
        <w:t>.09.2019г.                                                                                                                       т.42-226</w:t>
      </w:r>
    </w:p>
    <w:p>
      <w:pPr>
        <w:pStyle w:val="Normal"/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ind w:firstLine="709"/>
        <w:jc w:val="center"/>
        <w:rPr>
          <w:b/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Новый порядок индексации уже работает</w:t>
      </w:r>
    </w:p>
    <w:p>
      <w:pPr>
        <w:pStyle w:val="Style24"/>
        <w:ind w:left="0" w:firstLine="426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В мае вступил в действие Приказ Минтруда, который утвердил новый порядок проведения расчетов при индексации пенсии для получателей социальной доплаты. </w:t>
      </w:r>
    </w:p>
    <w:p>
      <w:pPr>
        <w:pStyle w:val="Normal"/>
        <w:ind w:firstLine="360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новым порядком сначала устанавливается социальная доплата к пенсии (она устанавливается неработающим пенсионерам, чей совокупный доход ниже величины прожиточного минимума пенсионера, установленного в регионе), а размер индексации пении или ежемесячной денежной выплаты (ЕДВ) выплачивается сверх величины прожиточного минимума пенсионера. </w:t>
      </w:r>
    </w:p>
    <w:p>
      <w:pPr>
        <w:pStyle w:val="Normal"/>
        <w:ind w:firstLine="540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  <w:t>Таким образом, общая сумма выплат пенсионеру в каждом году будет выше ПМП на сумму прибавки по итогам индексации пенсии и ЕДВ. Новый порядок распространяется и на индексации, уже прошедшие в текущем году.</w:t>
      </w:r>
    </w:p>
    <w:p>
      <w:pPr>
        <w:pStyle w:val="NoSpacing"/>
        <w:ind w:firstLine="567"/>
        <w:jc w:val="both"/>
        <w:rPr/>
      </w:pPr>
      <w:r>
        <w:rPr>
          <w:sz w:val="26"/>
          <w:szCs w:val="26"/>
          <w:shd w:fill="FFFFFF" w:val="clear"/>
        </w:rPr>
        <w:t>Прибавку к пенсии в результате вступивших в силу изменений получ</w:t>
      </w:r>
      <w:r>
        <w:rPr>
          <w:sz w:val="26"/>
          <w:szCs w:val="26"/>
          <w:shd w:fill="FFFFFF" w:val="clear"/>
        </w:rPr>
        <w:t>или</w:t>
      </w:r>
      <w:r>
        <w:rPr>
          <w:sz w:val="26"/>
          <w:szCs w:val="26"/>
          <w:shd w:fill="FFFFFF" w:val="clear"/>
        </w:rPr>
        <w:t xml:space="preserve"> неработающие получатели любого вида страховой пенсии, которым по состоянию на 31 декабря 2018 года была установлена социальная доплата, и социальной пенсии – по состоянию на 31 марта текущего года (напомним, что индексация страховых пенсий была с 1 января, а социальных и пенсий по гос обеспечению – с 1 апреля). Таким образом, в мае граждане уже </w:t>
      </w:r>
      <w:r>
        <w:rPr>
          <w:sz w:val="26"/>
          <w:szCs w:val="26"/>
          <w:shd w:fill="FFFFFF" w:val="clear"/>
        </w:rPr>
        <w:t xml:space="preserve">получили </w:t>
      </w:r>
      <w:r>
        <w:rPr>
          <w:sz w:val="26"/>
          <w:szCs w:val="26"/>
          <w:shd w:fill="FFFFFF" w:val="clear"/>
        </w:rPr>
        <w:t>выплаты в новом размере и плюс доплату за январь, февраль, март и апрель.</w:t>
      </w:r>
    </w:p>
    <w:p>
      <w:pPr>
        <w:pStyle w:val="NoSpacing"/>
        <w:ind w:firstLine="567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  <w:t>Это же правило касается и получателе ЕДВ. Индексация ЕДВ была произведена традиционно с 1 февраля.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  <w:shd w:fill="FFFFFF" w:val="clear"/>
        </w:rPr>
        <w:t>Перерасчет происходит беззаявительно, поэтому пенсионерам в Пенсионный фонд обращаться не нужно.</w:t>
      </w:r>
    </w:p>
    <w:p>
      <w:pPr>
        <w:pStyle w:val="Normal"/>
        <w:ind w:firstLine="540"/>
        <w:jc w:val="right"/>
        <w:rPr/>
      </w:pPr>
      <w:r>
        <w:rPr/>
      </w:r>
    </w:p>
    <w:p>
      <w:pPr>
        <w:pStyle w:val="Normal"/>
        <w:ind w:firstLine="540"/>
        <w:jc w:val="right"/>
        <w:rPr/>
      </w:pPr>
      <w:r>
        <w:rPr/>
      </w:r>
    </w:p>
    <w:p>
      <w:pPr>
        <w:pStyle w:val="Normal"/>
        <w:ind w:firstLine="540"/>
        <w:jc w:val="right"/>
        <w:rPr/>
      </w:pPr>
      <w:r>
        <w:rPr/>
      </w:r>
    </w:p>
    <w:sectPr>
      <w:type w:val="nextPage"/>
      <w:pgSz w:w="11906" w:h="16838"/>
      <w:pgMar w:left="1021" w:right="851" w:header="0" w:top="851" w:footer="0" w:bottom="68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92">
    <w:name w:val="ListLabel 92"/>
    <w:qFormat/>
    <w:rPr>
      <w:sz w:val="20"/>
    </w:rPr>
  </w:style>
  <w:style w:type="character" w:styleId="ListLabel91">
    <w:name w:val="ListLabel 91"/>
    <w:qFormat/>
    <w:rPr>
      <w:sz w:val="20"/>
    </w:rPr>
  </w:style>
  <w:style w:type="character" w:styleId="ListLabel90">
    <w:name w:val="ListLabel 90"/>
    <w:qFormat/>
    <w:rPr>
      <w:sz w:val="20"/>
    </w:rPr>
  </w:style>
  <w:style w:type="character" w:styleId="ListLabel89">
    <w:name w:val="ListLabel 89"/>
    <w:qFormat/>
    <w:rPr>
      <w:sz w:val="20"/>
    </w:rPr>
  </w:style>
  <w:style w:type="character" w:styleId="ListLabel88">
    <w:name w:val="ListLabel 88"/>
    <w:qFormat/>
    <w:rPr>
      <w:sz w:val="20"/>
    </w:rPr>
  </w:style>
  <w:style w:type="character" w:styleId="ListLabel87">
    <w:name w:val="ListLabel 87"/>
    <w:qFormat/>
    <w:rPr>
      <w:sz w:val="20"/>
    </w:rPr>
  </w:style>
  <w:style w:type="character" w:styleId="ListLabel86">
    <w:name w:val="ListLabel 86"/>
    <w:qFormat/>
    <w:rPr>
      <w:sz w:val="20"/>
    </w:rPr>
  </w:style>
  <w:style w:type="character" w:styleId="ListLabel85">
    <w:name w:val="ListLabel 85"/>
    <w:qFormat/>
    <w:rPr>
      <w:sz w:val="20"/>
    </w:rPr>
  </w:style>
  <w:style w:type="character" w:styleId="ListLabel84">
    <w:name w:val="ListLabel 84"/>
    <w:qFormat/>
    <w:rPr>
      <w:sz w:val="20"/>
    </w:rPr>
  </w:style>
  <w:style w:type="character" w:styleId="ListLabel83">
    <w:name w:val="ListLabel 83"/>
    <w:qFormat/>
    <w:rPr>
      <w:rFonts w:cs="Courier New"/>
    </w:rPr>
  </w:style>
  <w:style w:type="character" w:styleId="ListLabel82">
    <w:name w:val="ListLabel 82"/>
    <w:qFormat/>
    <w:rPr>
      <w:rFonts w:cs="Courier New"/>
    </w:rPr>
  </w:style>
  <w:style w:type="character" w:styleId="ListLabel81">
    <w:name w:val="ListLabel 81"/>
    <w:qFormat/>
    <w:rPr>
      <w:rFonts w:cs="Courier New"/>
    </w:rPr>
  </w:style>
  <w:style w:type="character" w:styleId="ListLabel80">
    <w:name w:val="ListLabel 80"/>
    <w:qFormat/>
    <w:rPr>
      <w:rFonts w:cs="Courier New"/>
    </w:rPr>
  </w:style>
  <w:style w:type="character" w:styleId="ListLabel79">
    <w:name w:val="ListLabel 79"/>
    <w:qFormat/>
    <w:rPr>
      <w:rFonts w:cs="Courier New"/>
    </w:rPr>
  </w:style>
  <w:style w:type="character" w:styleId="ListLabel78">
    <w:name w:val="ListLabel 78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6">
    <w:name w:val="ListLabel 76"/>
    <w:qFormat/>
    <w:rPr>
      <w:rFonts w:cs="Courier New"/>
    </w:rPr>
  </w:style>
  <w:style w:type="character" w:styleId="ListLabel75">
    <w:name w:val="ListLabel 75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2">
    <w:name w:val="ListLabel 72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4">
    <w:name w:val="ListLabel 54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2">
    <w:name w:val="ListLabel 52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0">
    <w:name w:val="ListLabel 50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48">
    <w:name w:val="ListLabel 48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pPr>
      <w:spacing w:before="0" w:after="120"/>
    </w:pPr>
    <w:rPr/>
  </w:style>
  <w:style w:type="paragraph" w:styleId="Style19">
    <w:name w:val="List"/>
    <w:basedOn w:val="Style18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4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val="ru-RU" w:eastAsia="ar-SA" w:bidi="ar-SA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val="ru-RU" w:eastAsia="ar-SA" w:bidi="ar-SA"/>
    </w:rPr>
  </w:style>
  <w:style w:type="paragraph" w:styleId="ConsNormal" w:customStyle="1">
    <w:name w:val="ConsNormal"/>
    <w:qFormat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val="ru-RU" w:eastAsia="ar-SA" w:bidi="ar-SA"/>
    </w:rPr>
  </w:style>
  <w:style w:type="paragraph" w:styleId="Style26" w:customStyle="1">
    <w:name w:val="Содержимое врезки"/>
    <w:basedOn w:val="Style18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paragraph" w:styleId="Style27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eastAsia="Times New Roman" w:cs="Arial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DocumentMap">
    <w:name w:val="DocumentMap"/>
    <w:qFormat/>
    <w:pPr>
      <w:widowControl/>
      <w:kinsoku w:val="true"/>
      <w:overflowPunct w:val="true"/>
      <w:autoSpaceDE w:val="true"/>
      <w:bidi w:val="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paragraph" w:styleId="Western">
    <w:name w:val="western"/>
    <w:basedOn w:val="Normal"/>
    <w:qFormat/>
    <w:pPr>
      <w:widowControl/>
      <w:spacing w:beforeAutospacing="1" w:after="119"/>
      <w:jc w:val="left"/>
      <w:textAlignment w:val="auto"/>
    </w:pPr>
    <w:rPr>
      <w:rFonts w:cs="Times New Roman"/>
      <w:color w:val="00000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839A06-08D5-47F9-98D1-43790A28F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1559</TotalTime>
  <Application>LibreOffice/6.2.5.2$Windows_x86 LibreOffice_project/1ec314fa52f458adc18c4f025c545a4e8b22c159</Application>
  <Pages>1</Pages>
  <Words>217</Words>
  <Characters>1352</Characters>
  <CharactersWithSpaces>1682</CharactersWithSpaces>
  <Paragraphs>9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2019-03-20T08:13:00Z</dcterms:created>
  <dc:creator>OPFR</dc:creator>
  <dc:description/>
  <dc:language>ru-RU</dc:language>
  <cp:lastModifiedBy/>
  <cp:lastPrinted>2019-02-25T08:14:00Z</cp:lastPrinted>
  <dcterms:modified xsi:type="dcterms:W3CDTF">2019-09-07T12:37:52Z</dcterms:modified>
  <cp:revision>153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