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rPr>
          <w:color w:val="002060"/>
          <w:sz w:val="26"/>
          <w:szCs w:val="2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выплате майских пенсий</w:t>
      </w:r>
    </w:p>
    <w:p>
      <w:pPr>
        <w:pStyle w:val="NoSpacing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firstLine="567"/>
        <w:jc w:val="both"/>
        <w:rPr/>
      </w:pPr>
      <w:r>
        <w:rPr>
          <w:b/>
          <w:i/>
          <w:sz w:val="26"/>
          <w:szCs w:val="26"/>
        </w:rPr>
        <w:t xml:space="preserve">Новосибирские пенсионеры, получающие пенсии через кредитные организации в первой половине месяца,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уже получают выплаты досрочно.</w:t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 xml:space="preserve">Выплата пенсии через кредитные организации (банки) осуществляется двумя потоками 11 и 21 числа каждого месяца. Если эти числа приходятся на выходные или праздничные дни, перечисление пенсий производится в первый рабочий день, следующий за выходным или праздничным. 11 мая приходится в этом году на субботу. В связи с длительными майскими праздниками Отделением ПФР по Новосибирской области пенсионные средства в кредитные организации перечислены </w:t>
      </w:r>
      <w:r>
        <w:rPr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</w:rPr>
        <w:t>уже пенсионеры получают выплаты.</w:t>
      </w:r>
      <w:r>
        <w:rPr>
          <w:sz w:val="26"/>
          <w:szCs w:val="26"/>
        </w:rPr>
        <w:t xml:space="preserve"> Таким образом, те пенсионеры, которые получают пенсию и иные выплаты по линии ПФР через банки в первой половине месяца, получат эти выплаты </w:t>
      </w:r>
      <w:r>
        <w:rPr>
          <w:sz w:val="26"/>
          <w:szCs w:val="26"/>
          <w:u w:val="single"/>
        </w:rPr>
        <w:t>досрочно.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для зачисления средств на счет пенсионера  банку требуется некоторое время после того, как ПФР перечислит деньги на счет в кредитной организации.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Новосибирской области на сегодняшний день 23 кредитных организации заключили с ПФР договоры о доставке пенсии и иных социальных выплат.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Доставка* через «Почту России» осуществляется по установленному Почтой графику.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на осуществление ежегодной выплаты участникам и инвалидам войны ко Дню Победы Отделением ПФР также уже перечислены во все доставочные структуры. </w:t>
      </w:r>
    </w:p>
    <w:p>
      <w:pPr>
        <w:pStyle w:val="NoSpacing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*Доставка пенсии и иных выплат производится по желанию пенсионера через кредитную организацию путем зачисления страховой пенсии на счет пенсионеров в этой организации либо через организации почтовой связи путем вручения пенсии на дому или в кассе организации.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ind w:firstLine="540"/>
        <w:jc w:val="right"/>
        <w:rPr/>
      </w:pPr>
      <w:r>
        <w:rPr/>
        <w:t xml:space="preserve">Пресс-служба Отделения ПФР  </w:t>
      </w:r>
    </w:p>
    <w:p>
      <w:pPr>
        <w:pStyle w:val="Normal"/>
        <w:suppressAutoHyphens w:val="false"/>
        <w:ind w:firstLine="426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4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C08DA-4276-4501-AF1E-262C9EA9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Application>LibreOffice/6.2.2.2$Windows_x86 LibreOffice_project/2b840030fec2aae0fd2658d8d4f9548af4e3518d</Application>
  <Pages>1</Pages>
  <Words>220</Words>
  <Characters>1383</Characters>
  <CharactersWithSpaces>1601</CharactersWithSpaces>
  <Paragraphs>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2019-03-20T08:13:00Z</dcterms:created>
  <dc:creator>OPFR</dc:creator>
  <dc:description/>
  <dc:language>ru-RU</dc:language>
  <cp:lastModifiedBy/>
  <cp:lastPrinted>2019-02-25T08:14:00Z</cp:lastPrinted>
  <dcterms:modified xsi:type="dcterms:W3CDTF">2019-05-13T08:45:33Z</dcterms:modified>
  <cp:revision>102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