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bookmarkStart w:id="0" w:name="__DdeLink__26_2634312152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670" cy="561975"/>
                <wp:effectExtent l="0" t="0" r="0" b="63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60" cy="56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spacing w:before="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59130" cy="563245"/>
                                  <wp:effectExtent l="0" t="0" r="0" b="0"/>
                                  <wp:docPr id="3" name="Рисунок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-6pt;margin-top:-27pt;width:52pt;height:44.1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9"/>
                        <w:spacing w:before="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59130" cy="563245"/>
                            <wp:effectExtent l="0" t="0" r="0" b="0"/>
                            <wp:docPr id="4" name="Рисунок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0</w:t>
      </w:r>
      <w:r>
        <w:rPr>
          <w:b/>
          <w:bCs/>
          <w:color w:val="002060"/>
          <w:sz w:val="26"/>
          <w:szCs w:val="26"/>
        </w:rPr>
        <w:t>9</w:t>
      </w:r>
      <w:r>
        <w:rPr>
          <w:b/>
          <w:bCs/>
          <w:color w:val="002060"/>
          <w:sz w:val="26"/>
          <w:szCs w:val="26"/>
        </w:rPr>
        <w:t xml:space="preserve">.12.2019г.                                                                                                                    т.42-226  </w:t>
      </w:r>
    </w:p>
    <w:p>
      <w:pPr>
        <w:pStyle w:val="Normal"/>
        <w:ind w:first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540"/>
        <w:jc w:val="center"/>
        <w:rPr>
          <w:b/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Декада инвалидов стартовала.</w:t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Новосибирской области стартовала Декада инвалидов, основная цель которой повысить внимание к проблемам людей с ограниченными возможностями здоровья и найти пути их решения. Торжественное открытие состоялось в Концертном зале им. А.М. Каца, где выступали творческие коллективы «особенных» людей, вручались награды, отмечались заслуги. Участники мероприятия смогли также получить ответы на вопросы от специалистов Пенсионного фонда, которые работали в выездном консультационном пункте ПФР.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Напомним, что по линии ПФР люди, которым устанавливается инвалидность, имеют право на целый ряд выплат. В первую очер</w:t>
      </w:r>
      <w:bookmarkStart w:id="1" w:name="_GoBack"/>
      <w:bookmarkEnd w:id="1"/>
      <w:r>
        <w:rPr>
          <w:sz w:val="26"/>
          <w:szCs w:val="26"/>
          <w:lang w:eastAsia="ru-RU"/>
        </w:rPr>
        <w:t xml:space="preserve">едь </w:t>
      </w:r>
      <w:r>
        <w:rPr>
          <w:sz w:val="26"/>
          <w:szCs w:val="26"/>
          <w:lang w:eastAsia="ru-RU"/>
        </w:rPr>
        <w:t xml:space="preserve">речь идет об установлении пенсий по инвалидности, которые бывают страховые, государственные и социальные. </w:t>
      </w:r>
      <w:r>
        <w:rPr>
          <w:sz w:val="26"/>
          <w:szCs w:val="26"/>
        </w:rPr>
        <w:t xml:space="preserve">Страховая пенсия по инвалидности назначается и выплачивается гражданину, признанному инвалидом и имеющему хотя бы один день страхового стажа.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Право на получение государственной пенсии по инвалидности имеют военнослужащие; граждане, пострадавшие в результате радиационных или техногенных катастроф; участники Великой Отечественной войны; граждане, награжденные знаком "Жителю блокадного Ленинграда"; космонавты.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Право на получение социальной пенсии по инвалидности имеют: </w:t>
      </w:r>
      <w:r>
        <w:rPr>
          <w:iCs/>
          <w:sz w:val="26"/>
          <w:szCs w:val="26"/>
          <w:lang w:eastAsia="ru-RU"/>
        </w:rPr>
        <w:t>инвалиды 1, 2 и 3 группы, в том числе инвалиды с детства; дети-инвалиды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>
        <w:rPr>
          <w:rFonts w:cs="Helvetica" w:ascii="Roboto" w:hAnsi="Roboto"/>
          <w:sz w:val="26"/>
          <w:szCs w:val="26"/>
        </w:rPr>
        <w:t>Отдельным категориям инвалидов предоставлено право на одновременное получение двух пенсий: им могут быть установлены государственная пенсия по инвалидности и страховая пенсия по старости.</w:t>
      </w:r>
      <w:r>
        <w:rPr>
          <w:rFonts w:cs="Helvetica" w:ascii="Roboto" w:hAnsi="Roboto"/>
          <w:sz w:val="27"/>
          <w:szCs w:val="27"/>
        </w:rPr>
        <w:t xml:space="preserve">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Помимо пенсии граждане, имеющие инвалидность, имеют право на установление по линии ПФР ежемесячной денежной выплаты (ЕДВ), размер которой зависит от категории и группы инвалидности, и предоставление набора соцуслуг (НСУ).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Гражданам, которые осуществляют уход за лицами с ограниченными возможностями здоровья, может быть установлена компенсационная выплата по уходу, которая выплачивается вместе с пенсией лица, за которым осуществляется уход.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бОльшую часть услуг Пенсионного фонда России можно получить в электронном виде, что особенно удобно для людей с ограниченными возможностями здоровья. Эти услуги можно получить через Единый портал госуслуг или в Личном кабинете гражданина на сайте ПФР, где спектр этих услуг гораздо шире.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ПФР ведет также учет всех социальных прав граждан, имеющих инвалидность – в 2017-м году запущен Федеральный реестр инвалидов (ФРИ) - крупнейшая информационная система, которая охватывает наиболее полные сведения о каждом гражданине с инвалидностью в России. Для инвалидов доступ к ФРИ открыт в Личном кабинете на сайте ПФР и в мобильном приложении, через которые можно получить информацию о назначенных инвалиду выплатах и положенных льготах, подать электронные заявления о назначении пенсий и соцвыплат, оставить отзыв о качестве оказанных госуслуг. Сервис также предлагает алгоритм действий при различных жизненных ситуациях.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right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Spacing"/>
        <w:ind w:firstLine="567"/>
        <w:jc w:val="right"/>
        <w:rPr/>
      </w:pPr>
      <w:r>
        <w:rPr/>
      </w:r>
    </w:p>
    <w:sectPr>
      <w:type w:val="nextPage"/>
      <w:pgSz w:w="11906" w:h="16838"/>
      <w:pgMar w:left="1021" w:right="737" w:header="0" w:top="794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Roboto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Style17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8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9">
    <w:name w:val="Подзаголовок Знак"/>
    <w:basedOn w:val="DefaultParagraphFont"/>
    <w:qFormat/>
    <w:rPr>
      <w:rFonts w:ascii="Cambria" w:hAnsi="Cambria" w:eastAsia="NSimSun" w:cs="Mangal"/>
      <w:i/>
      <w:iCs/>
      <w:color w:val="4F81BD"/>
      <w:spacing w:val="15"/>
      <w:sz w:val="24"/>
      <w:szCs w:val="24"/>
      <w:lang w:eastAsia="ru-RU"/>
    </w:rPr>
  </w:style>
  <w:style w:type="character" w:styleId="10pt">
    <w:name w:val="Основной текст + 10 pt"/>
    <w:basedOn w:val="DefaultParagraphFont"/>
    <w:qFormat/>
    <w:rPr>
      <w:rFonts w:ascii="Calibri" w:hAnsi="Calibri" w:eastAsia="Calibri" w:cs="Calibri"/>
      <w:i w:val="false"/>
      <w:iCs w:val="false"/>
      <w:caps w:val="false"/>
      <w:smallCaps w:val="false"/>
      <w:color w:val="000000"/>
      <w:spacing w:val="0"/>
      <w:w w:val="100"/>
      <w:sz w:val="20"/>
      <w:szCs w:val="20"/>
      <w:highlight w:val="white"/>
      <w:lang w:val="ru-RU" w:eastAsia="ru-RU" w:bidi="ru-RU"/>
    </w:rPr>
  </w:style>
  <w:style w:type="character" w:styleId="Z">
    <w:name w:val="z-Конец формы Знак"/>
    <w:basedOn w:val="DefaultParagraphFont"/>
    <w:qFormat/>
    <w:rPr>
      <w:rFonts w:ascii="Arial" w:hAnsi="Arial" w:cs="Arial"/>
      <w:vanish/>
      <w:sz w:val="16"/>
      <w:szCs w:val="16"/>
    </w:rPr>
  </w:style>
  <w:style w:type="character" w:styleId="Dashed">
    <w:name w:val="dashed"/>
    <w:basedOn w:val="DefaultParagraphFont"/>
    <w:qFormat/>
    <w:rPr/>
  </w:style>
  <w:style w:type="character" w:styleId="Z1">
    <w:name w:val="z-Начало формы Знак"/>
    <w:basedOn w:val="DefaultParagraphFont"/>
    <w:qFormat/>
    <w:rPr>
      <w:rFonts w:ascii="Arial" w:hAnsi="Arial" w:cs="Arial"/>
      <w:vanish/>
      <w:sz w:val="16"/>
      <w:szCs w:val="16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1">
    <w:name w:val="Body Text"/>
    <w:basedOn w:val="Normal"/>
    <w:link w:val="aa"/>
    <w:pPr>
      <w:spacing w:before="0" w:after="120"/>
    </w:pPr>
    <w:rPr/>
  </w:style>
  <w:style w:type="paragraph" w:styleId="Style22">
    <w:name w:val="List"/>
    <w:basedOn w:val="Style21"/>
    <w:pPr/>
    <w:rPr>
      <w:rFonts w:ascii="Arial" w:hAnsi="Arial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5">
    <w:name w:val="Title"/>
    <w:basedOn w:val="Normal"/>
    <w:next w:val="Style26"/>
    <w:qFormat/>
    <w:pPr>
      <w:jc w:val="center"/>
    </w:pPr>
    <w:rPr>
      <w:b/>
      <w:bCs/>
      <w:sz w:val="28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7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9" w:customStyle="1">
    <w:name w:val="Содержимое врезки"/>
    <w:basedOn w:val="Style21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30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spacing w:before="280" w:after="119"/>
    </w:pPr>
    <w:rPr>
      <w:color w:val="000000"/>
      <w:lang w:eastAsia="ru-RU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Hidden">
    <w:name w:val="hidden"/>
    <w:basedOn w:val="Normal"/>
    <w:qFormat/>
    <w:pPr>
      <w:suppressAutoHyphens w:val="false"/>
      <w:spacing w:before="0" w:after="150"/>
    </w:pPr>
    <w:rPr>
      <w:lang w:eastAsia="ru-RU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3B7E6-C799-4E85-8847-B689DCFF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Application>LibreOffice/6.3.3.2$Windows_x86 LibreOffice_project/a64200df03143b798afd1ec74a12ab50359878ed</Application>
  <Pages>1</Pages>
  <Words>387</Words>
  <Characters>2596</Characters>
  <CharactersWithSpaces>3094</CharactersWithSpaces>
  <Paragraphs>13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2019-02-25T08:14:00Z</cp:lastPrinted>
  <dcterms:modified xsi:type="dcterms:W3CDTF">2019-12-08T14:50:23Z</dcterms:modified>
  <cp:revision>72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