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CA9E1" w14:textId="2D9104CE" w:rsidR="00286D25" w:rsidRDefault="00286D25">
      <w:r>
        <w:t xml:space="preserve">Сборник лучших муниципальных практик по теме: </w:t>
      </w:r>
      <w:r w:rsidRPr="00286D25">
        <w:t>«Муниципальная экономическая политика и управление муниципальными финансами» и 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к осуществлению (участию в осуществлении) местного самоуправления в иных формах»</w:t>
      </w:r>
      <w:r>
        <w:t xml:space="preserve"> за 2024г.</w:t>
      </w:r>
    </w:p>
    <w:sectPr w:rsidR="0028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25"/>
    <w:rsid w:val="00286D25"/>
    <w:rsid w:val="00F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45C7"/>
  <w15:chartTrackingRefBased/>
  <w15:docId w15:val="{073EF2FD-183E-48B0-B608-81F23C9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D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D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6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6D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6D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6D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6D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6D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6D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6D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6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6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6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6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6D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6D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6D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6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6D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6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2025-01-21T04:16:00Z</dcterms:created>
  <dcterms:modified xsi:type="dcterms:W3CDTF">2025-01-21T04:17:00Z</dcterms:modified>
</cp:coreProperties>
</file>