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0814968">
      <w:pPr>
        <w:tabs>
          <w:tab w:val="left" w:pos="7290"/>
          <w:tab w:val="left" w:pos="7590"/>
        </w:tabs>
        <w:spacing w:after="0" w:line="240" w:lineRule="auto"/>
        <w:jc w:val="both"/>
        <w:rPr>
          <w:rFonts w:ascii="Times New Roman" w:hAnsi="Times New Roman" w:eastAsia="Times New Roman" w:cs="Times New Roman"/>
          <w:sz w:val="28"/>
          <w:szCs w:val="28"/>
        </w:rPr>
      </w:pPr>
      <w:bookmarkStart w:id="1" w:name="_GoBack"/>
      <w:bookmarkEnd w:id="1"/>
      <w:r>
        <w:rPr>
          <w:rFonts w:ascii="Times New Roman" w:hAnsi="Times New Roman" w:eastAsia="Times New Roman" w:cs="Times New Roman"/>
          <w:sz w:val="28"/>
          <w:szCs w:val="28"/>
        </w:rPr>
        <w:tab/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                                                                  </w:t>
      </w:r>
    </w:p>
    <w:p w14:paraId="0C06E7BF">
      <w:pPr>
        <w:pStyle w:val="15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Приложение к</w:t>
      </w:r>
    </w:p>
    <w:p w14:paraId="754D8A82">
      <w:pPr>
        <w:pStyle w:val="15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постановлению администрации</w:t>
      </w:r>
    </w:p>
    <w:p w14:paraId="4155F6AB">
      <w:pPr>
        <w:pStyle w:val="15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Краснозерского района</w:t>
      </w:r>
    </w:p>
    <w:p w14:paraId="6183DD7E">
      <w:pPr>
        <w:pStyle w:val="15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Новосибирской области</w:t>
      </w:r>
    </w:p>
    <w:p w14:paraId="57DC818F">
      <w:pPr>
        <w:pStyle w:val="15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 от ___________ г. № ____</w:t>
      </w:r>
    </w:p>
    <w:p w14:paraId="67B403E0">
      <w:pPr>
        <w:pStyle w:val="15"/>
        <w:jc w:val="right"/>
        <w:rPr>
          <w:rFonts w:ascii="Times New Roman" w:hAnsi="Times New Roman" w:cs="Times New Roman"/>
        </w:rPr>
      </w:pPr>
    </w:p>
    <w:p w14:paraId="180D7868">
      <w:pPr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Программы профилактики рисков причинения вреда (ущерба) охраняемым законом ценностям на 2024 год в сфере муниципального контроля на автомобильном транспорте, городском наземном электрическом транспорте и в дорожном хозяйстве Краснозерского района Новосибирской области. </w:t>
      </w:r>
    </w:p>
    <w:p w14:paraId="0923CD79">
      <w:pPr>
        <w:ind w:firstLine="567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Настоящая Программа профилактики рисков причинения вреда (ущерба) охраняемым законом ценностям на 2024 год в сфере муниципального контроля на автомобильном транспорте, городском наземном электрическом транспорте и в дорожном хозяйстве Краснозерского района Новосибирской области (далее – Программа) разработана в целях  стимулирования добросовестного соблюдения обязательных требований организациями  и гражданами,  устранения условий, причин и факторов, способных привести к нарушениям обязательных требований и (или) причинению вреда (ущерба) охраняемым законом ценностям, создания условий для доведения обязательных требований до контролируемых лиц, повышение информированности о способах их соблюдения.</w:t>
      </w:r>
    </w:p>
    <w:p w14:paraId="6D9AF2B2">
      <w:pPr>
        <w:autoSpaceDE w:val="0"/>
        <w:autoSpaceDN w:val="0"/>
        <w:adjustRightInd w:val="0"/>
        <w:ind w:firstLine="540"/>
        <w:jc w:val="both"/>
        <w:rPr>
          <w:b/>
          <w:sz w:val="28"/>
          <w:szCs w:val="28"/>
        </w:rPr>
      </w:pPr>
      <w:r>
        <w:rPr>
          <w:sz w:val="28"/>
          <w:szCs w:val="28"/>
        </w:rPr>
        <w:t>Настоящая Программа разработана и подлежит исполнению администрацией Краснозерского района Новосибирской области (далее по тексту – администрация).</w:t>
      </w:r>
    </w:p>
    <w:p w14:paraId="552BFE9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1. Анализ текущего состояния осуществления муниципального   контроля, описание текущего развития профилактической деятельности контрольного органа, характеристика проблем, на решение которых направлена Программа</w:t>
      </w:r>
    </w:p>
    <w:p w14:paraId="20B00724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1.1. Вид муниципального контроля: муниципальный   контроль   на автомобильном транспорте, городском наземном электрическом транспорте и в дорожном хозяйстве в границах населенных пунктов.</w:t>
      </w:r>
    </w:p>
    <w:p w14:paraId="4EA2723A">
      <w:pPr>
        <w:pStyle w:val="17"/>
        <w:ind w:firstLine="709"/>
        <w:jc w:val="both"/>
        <w:rPr>
          <w:rFonts w:asciiTheme="minorHAnsi" w:hAnsiTheme="minorHAnsi" w:eastAsiaTheme="minorHAnsi" w:cstheme="minorBidi"/>
          <w:sz w:val="28"/>
          <w:szCs w:val="28"/>
          <w:lang w:eastAsia="en-US"/>
        </w:rPr>
      </w:pPr>
      <w:r>
        <w:rPr>
          <w:rFonts w:asciiTheme="minorHAnsi" w:hAnsiTheme="minorHAnsi" w:eastAsiaTheme="minorHAnsi" w:cstheme="minorBidi"/>
          <w:sz w:val="28"/>
          <w:szCs w:val="28"/>
          <w:lang w:eastAsia="en-US"/>
        </w:rPr>
        <w:t>1.2. Предметом муниципального контроля на территории муниципального образования   является соблюдение гражданами и организациями (далее – контролируемые лица) обязательных требований:</w:t>
      </w:r>
    </w:p>
    <w:p w14:paraId="5106E250">
      <w:pPr>
        <w:ind w:left="-57" w:right="-1" w:firstLine="766"/>
        <w:jc w:val="both"/>
        <w:rPr>
          <w:sz w:val="28"/>
          <w:szCs w:val="28"/>
        </w:rPr>
      </w:pPr>
      <w:r>
        <w:rPr>
          <w:sz w:val="28"/>
          <w:szCs w:val="28"/>
        </w:rPr>
        <w:t>1) в области автомобильных дорог и дорожной деятельности, установленных в отношении автомобильных дорог:</w:t>
      </w:r>
    </w:p>
    <w:p w14:paraId="13A68D27">
      <w:pPr>
        <w:ind w:left="-57" w:right="-1" w:firstLine="76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а) к эксплуатации объектов дорожного сервиса, размещенных </w:t>
      </w:r>
      <w:r>
        <w:rPr>
          <w:sz w:val="28"/>
          <w:szCs w:val="28"/>
        </w:rPr>
        <w:br w:type="textWrapping"/>
      </w:r>
      <w:r>
        <w:rPr>
          <w:sz w:val="28"/>
          <w:szCs w:val="28"/>
        </w:rPr>
        <w:t>в полосах отвода и (или) придорожных полосах автомобильных дорог общего пользования;</w:t>
      </w:r>
    </w:p>
    <w:p w14:paraId="2295C77A">
      <w:pPr>
        <w:ind w:left="-57" w:right="-1" w:firstLine="76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б) к осуществлению работ по капитальному ремонту, ремонту </w:t>
      </w:r>
      <w:r>
        <w:rPr>
          <w:sz w:val="28"/>
          <w:szCs w:val="28"/>
        </w:rPr>
        <w:br w:type="textWrapping"/>
      </w:r>
      <w:r>
        <w:rPr>
          <w:sz w:val="28"/>
          <w:szCs w:val="28"/>
        </w:rPr>
        <w:t>и содержанию автомобильных дорог общего пользования и искусственных дорожных сооружений на них (включая требования к дорожно-строительным материалам и изделиям) в части обеспечения сохранности автомобильных дорог;</w:t>
      </w:r>
    </w:p>
    <w:p w14:paraId="7111387F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2) установленных в отношении перевозок по муниципальным маршрутам регулярных перевозок, не относящихся к предмету федерального государственного контроля (надзора) на автомобильном транспорте, городском наземном электрическом транспорте и в дорожном хозяйстве в области организации регулярных перевозок;</w:t>
      </w:r>
    </w:p>
    <w:p w14:paraId="75327369">
      <w:pPr>
        <w:pStyle w:val="12"/>
        <w:ind w:firstLine="709"/>
        <w:jc w:val="both"/>
        <w:rPr>
          <w:rFonts w:asciiTheme="minorHAnsi" w:hAnsiTheme="minorHAnsi" w:eastAsiaTheme="minorHAnsi" w:cstheme="minorBidi"/>
          <w:sz w:val="28"/>
          <w:szCs w:val="28"/>
        </w:rPr>
      </w:pPr>
      <w:r>
        <w:rPr>
          <w:rFonts w:asciiTheme="minorHAnsi" w:hAnsiTheme="minorHAnsi" w:eastAsiaTheme="minorHAnsi" w:cstheme="minorBidi"/>
          <w:sz w:val="28"/>
          <w:szCs w:val="28"/>
        </w:rPr>
        <w:t>Предметом муниципального контроля является также исполнение решений, принимаемых по результатам контрольных мероприятий.</w:t>
      </w:r>
    </w:p>
    <w:p w14:paraId="214F8FB5">
      <w:pPr>
        <w:pStyle w:val="17"/>
        <w:ind w:firstLine="709"/>
        <w:jc w:val="both"/>
        <w:rPr>
          <w:rFonts w:asciiTheme="minorHAnsi" w:hAnsiTheme="minorHAnsi" w:eastAsiaTheme="minorHAnsi" w:cstheme="minorBidi"/>
          <w:sz w:val="28"/>
          <w:szCs w:val="28"/>
          <w:lang w:eastAsia="en-US"/>
        </w:rPr>
      </w:pPr>
    </w:p>
    <w:p w14:paraId="175EF5AB">
      <w:pPr>
        <w:pStyle w:val="17"/>
        <w:ind w:firstLine="709"/>
        <w:jc w:val="both"/>
        <w:rPr>
          <w:rFonts w:asciiTheme="minorHAnsi" w:hAnsiTheme="minorHAnsi" w:eastAsiaTheme="minorHAnsi" w:cstheme="minorBidi"/>
          <w:sz w:val="28"/>
          <w:szCs w:val="28"/>
          <w:lang w:eastAsia="en-US"/>
        </w:rPr>
      </w:pPr>
      <w:r>
        <w:rPr>
          <w:rFonts w:asciiTheme="minorHAnsi" w:hAnsiTheme="minorHAnsi" w:eastAsiaTheme="minorHAnsi" w:cstheme="minorBidi"/>
          <w:sz w:val="28"/>
          <w:szCs w:val="28"/>
          <w:lang w:eastAsia="en-US"/>
        </w:rPr>
        <w:t>Администрацией за 9 месяцев 2024 года  не проводились проверки соблюдения действующего законодательства Российской Федерации в указанной сфере.</w:t>
      </w:r>
    </w:p>
    <w:p w14:paraId="6A610E27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В рамках профилактики рисков причинения вреда (ущерба) охраняемым законом ценностям администрацией  в 2024 году осуществляются следующие мероприятия:</w:t>
      </w:r>
    </w:p>
    <w:p w14:paraId="6F1193B7">
      <w:pPr>
        <w:numPr>
          <w:ilvl w:val="0"/>
          <w:numId w:val="1"/>
        </w:numPr>
        <w:tabs>
          <w:tab w:val="left" w:pos="851"/>
        </w:tabs>
        <w:spacing w:after="0" w:line="240" w:lineRule="auto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>размещение на официальном сайте администрации   в сети «Интернет»  перечней нормативных правовых актов или их отдельных частей, содержащих обязательные требования, оценка соблюдения которых является предметом муниципального  контроля, а также текстов соответствующих нормативных правовых актов;</w:t>
      </w:r>
    </w:p>
    <w:p w14:paraId="6A299147">
      <w:pPr>
        <w:numPr>
          <w:ilvl w:val="0"/>
          <w:numId w:val="1"/>
        </w:numPr>
        <w:tabs>
          <w:tab w:val="left" w:pos="851"/>
        </w:tabs>
        <w:spacing w:after="0" w:line="240" w:lineRule="auto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осуществление информирования юридических лиц, индивидуальных предпринимателей по вопросам соблюдения обязательных требований, в том числе посредством разработки и опубликования руководств по соблюдению обязательных требований, разъяснительной работы в средствах массовой информации; </w:t>
      </w:r>
    </w:p>
    <w:p w14:paraId="744B44DE">
      <w:pPr>
        <w:numPr>
          <w:ilvl w:val="0"/>
          <w:numId w:val="1"/>
        </w:numPr>
        <w:tabs>
          <w:tab w:val="left" w:pos="851"/>
        </w:tabs>
        <w:spacing w:after="0" w:line="240" w:lineRule="auto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>обеспечение регулярного обобщения практики осуществления муниципального   контроля и размещение на официальном интернет-сайте администрации  соответствующих обобщений, в том числе с указанием наиболее часто встречающихся случаев нарушений обязательных требований с рекомендациями в отношении мер, которые должны приниматься юридическими лицами, индивидуальными предпринимателями в целях недопущения таких нарушений;</w:t>
      </w:r>
    </w:p>
    <w:p w14:paraId="60E13497">
      <w:pPr>
        <w:numPr>
          <w:ilvl w:val="0"/>
          <w:numId w:val="1"/>
        </w:numPr>
        <w:tabs>
          <w:tab w:val="left" w:pos="851"/>
        </w:tabs>
        <w:spacing w:after="0" w:line="240" w:lineRule="auto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>выдача предостережений о недопустимости нарушения обязательных требований в соответствии с частями 5-7 статьи 8.2 Федерального закона от 26 декабря 2008 года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контроля».</w:t>
      </w:r>
    </w:p>
    <w:p w14:paraId="5CD5F6CD">
      <w:pPr>
        <w:tabs>
          <w:tab w:val="left" w:pos="851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За 9 месяцев  2024 года администрацией  не выдавались предостережения о недопустимости нарушения обязательных требований.</w:t>
      </w:r>
    </w:p>
    <w:p w14:paraId="0654D70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2. Цели и задачи реализации Программы</w:t>
      </w:r>
    </w:p>
    <w:p w14:paraId="6693DA9C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2.1. Целями профилактической работы являются:</w:t>
      </w:r>
    </w:p>
    <w:p w14:paraId="469BD88A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1) стимулирование добросовестного соблюдения обязательных требований всеми контролируемыми лицами; </w:t>
      </w:r>
    </w:p>
    <w:p w14:paraId="77BB0666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2) устранение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 </w:t>
      </w:r>
    </w:p>
    <w:p w14:paraId="2D001E8C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3) создание условий для доведения обязательных требований до контролируемых лиц, повышение информированности о способах их соблюдения;</w:t>
      </w:r>
    </w:p>
    <w:p w14:paraId="3D7F58E2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4) предупреждение нарушений контролируемыми лицами обязательных требований, включая устранение причин, факторов и условий, способствующих возможному нарушению обязательных требований;</w:t>
      </w:r>
    </w:p>
    <w:p w14:paraId="15448A0C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5) снижение административной нагрузки на контролируемых лиц;</w:t>
      </w:r>
    </w:p>
    <w:p w14:paraId="61FD8921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6) снижение размера ущерба, причиняемого охраняемым законом ценностям.</w:t>
      </w:r>
    </w:p>
    <w:p w14:paraId="385F6499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2.2. Задачами профилактической работы являются:</w:t>
      </w:r>
    </w:p>
    <w:p w14:paraId="0F27CFF1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1) укрепление системы профилактики нарушений обязательных требований;</w:t>
      </w:r>
    </w:p>
    <w:p w14:paraId="0B07D360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2) выявление причин, факторов и условий, способствующих нарушениям обязательных требований, разработка мероприятий, направленных на устранение нарушений обязательных требований;</w:t>
      </w:r>
    </w:p>
    <w:p w14:paraId="4A24ECBE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3) повышение правосознания и правовой культуры организаций и граждан в сфере рассматриваемых правоотношений.</w:t>
      </w:r>
    </w:p>
    <w:p w14:paraId="748B4418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В положении о виде контроля  мероприятия, направленные на нематериальное поощрение добросовестных контролируемых лиц, не установлены, следовательно, меры стимулирования добросовестности в программе не предусмотрены.</w:t>
      </w:r>
    </w:p>
    <w:p w14:paraId="45669560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В положении о виде контроля самостоятельная оценка соблюдения обязательных требований (самообследование) не предусмотрена, следовательно, в программе способы самообследования в автоматизированном режиме не определены (ч.1 ст.51 №248-ФЗ).</w:t>
      </w:r>
    </w:p>
    <w:p w14:paraId="424A0F2F">
      <w:pPr>
        <w:ind w:firstLine="567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3. Перечень профилактических мероприятий, сроки (периодичность) их проведения</w:t>
      </w:r>
    </w:p>
    <w:tbl>
      <w:tblPr>
        <w:tblStyle w:val="13"/>
        <w:tblW w:w="9931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16"/>
        <w:gridCol w:w="4669"/>
        <w:gridCol w:w="2625"/>
        <w:gridCol w:w="2021"/>
      </w:tblGrid>
      <w:tr w14:paraId="12E8FCF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94" w:type="dxa"/>
          </w:tcPr>
          <w:p w14:paraId="5B8FB162">
            <w:p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 п/п</w:t>
            </w:r>
          </w:p>
        </w:tc>
        <w:tc>
          <w:tcPr>
            <w:tcW w:w="4738" w:type="dxa"/>
          </w:tcPr>
          <w:p w14:paraId="40C886F4">
            <w:p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2564" w:type="dxa"/>
          </w:tcPr>
          <w:p w14:paraId="2B12650D">
            <w:p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Срок реализации мероприятия</w:t>
            </w:r>
          </w:p>
        </w:tc>
        <w:tc>
          <w:tcPr>
            <w:tcW w:w="2035" w:type="dxa"/>
          </w:tcPr>
          <w:p w14:paraId="09015BF8">
            <w:p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Ответственные за мероприятия</w:t>
            </w:r>
          </w:p>
        </w:tc>
      </w:tr>
      <w:tr w14:paraId="26126E5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94" w:type="dxa"/>
          </w:tcPr>
          <w:p w14:paraId="4B71964C">
            <w:p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4738" w:type="dxa"/>
          </w:tcPr>
          <w:p w14:paraId="70DB36EF">
            <w:pPr>
              <w:spacing w:after="0" w:line="240" w:lineRule="auto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Информирование</w:t>
            </w:r>
          </w:p>
          <w:p w14:paraId="47A86E28">
            <w:p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Информирование</w:t>
            </w:r>
            <w:bookmarkStart w:id="0" w:name="dst100511"/>
            <w:bookmarkEnd w:id="0"/>
            <w:r>
              <w:rPr>
                <w:sz w:val="28"/>
                <w:szCs w:val="28"/>
              </w:rPr>
              <w:t xml:space="preserve"> осуществляется путем размещения сведений по вопросам соблюдения обязательных требований, предусмотренных частью 3 статьи 46 Федерального закона от 31.07.2020 № 248-ФЗ «О государственном контроле (надзоре) и муниципальном контроле в Российской Федерации» на официальном сайте Краснозерского района Новосибирской области </w:t>
            </w:r>
            <w:r>
              <w:fldChar w:fldCharType="begin"/>
            </w:r>
            <w:r>
              <w:instrText xml:space="preserve"> HYPERLINK "https://krasnozerskoe.nso.ru/" </w:instrText>
            </w:r>
            <w:r>
              <w:fldChar w:fldCharType="separate"/>
            </w:r>
            <w:r>
              <w:rPr>
                <w:rStyle w:val="6"/>
                <w:sz w:val="28"/>
                <w:szCs w:val="28"/>
              </w:rPr>
              <w:t>https://</w:t>
            </w:r>
            <w:r>
              <w:rPr>
                <w:rStyle w:val="6"/>
                <w:sz w:val="28"/>
                <w:szCs w:val="28"/>
                <w:lang w:val="en-US"/>
              </w:rPr>
              <w:t>krasnozerskoe</w:t>
            </w:r>
            <w:r>
              <w:rPr>
                <w:rStyle w:val="6"/>
                <w:sz w:val="28"/>
                <w:szCs w:val="28"/>
              </w:rPr>
              <w:t>.</w:t>
            </w:r>
            <w:r>
              <w:rPr>
                <w:rStyle w:val="6"/>
                <w:sz w:val="28"/>
                <w:szCs w:val="28"/>
                <w:lang w:val="en-US"/>
              </w:rPr>
              <w:t>nso</w:t>
            </w:r>
            <w:r>
              <w:rPr>
                <w:rStyle w:val="6"/>
                <w:sz w:val="28"/>
                <w:szCs w:val="28"/>
              </w:rPr>
              <w:t>.ru/</w:t>
            </w:r>
            <w:r>
              <w:rPr>
                <w:rStyle w:val="6"/>
                <w:sz w:val="28"/>
                <w:szCs w:val="28"/>
              </w:rPr>
              <w:fldChar w:fldCharType="end"/>
            </w:r>
            <w:r>
              <w:rPr>
                <w:sz w:val="28"/>
                <w:szCs w:val="28"/>
              </w:rPr>
              <w:t xml:space="preserve"> в сети «Интернет», в средствах массовой информации и в иных формах.</w:t>
            </w:r>
          </w:p>
        </w:tc>
        <w:tc>
          <w:tcPr>
            <w:tcW w:w="2564" w:type="dxa"/>
          </w:tcPr>
          <w:p w14:paraId="7D5755F7">
            <w:p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Постоянно</w:t>
            </w:r>
          </w:p>
        </w:tc>
        <w:tc>
          <w:tcPr>
            <w:tcW w:w="2035" w:type="dxa"/>
          </w:tcPr>
          <w:p w14:paraId="6D52DEC7">
            <w:p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Управление</w:t>
            </w:r>
          </w:p>
        </w:tc>
      </w:tr>
      <w:tr w14:paraId="29C6F5C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94" w:type="dxa"/>
          </w:tcPr>
          <w:p w14:paraId="4B0434D7">
            <w:p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4738" w:type="dxa"/>
          </w:tcPr>
          <w:p w14:paraId="0E22DC22">
            <w:pPr>
              <w:spacing w:after="0" w:line="240" w:lineRule="auto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Объявление предостережения о недопустимости нарушения обязательных требований</w:t>
            </w:r>
          </w:p>
          <w:p w14:paraId="5253A64E">
            <w:p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Предостережение о недопустимости нарушения обязательных требований объявляется контролируемому лицу в случае наличия у Управления сведений о готовящихся нарушениях обязательных требований и (или) в случае отсутствия подтверждения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ценностям.</w:t>
            </w:r>
          </w:p>
        </w:tc>
        <w:tc>
          <w:tcPr>
            <w:tcW w:w="2564" w:type="dxa"/>
          </w:tcPr>
          <w:p w14:paraId="2C1DA66A">
            <w:p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По мере появления оснований, предусмотренных законодательством.</w:t>
            </w:r>
          </w:p>
        </w:tc>
        <w:tc>
          <w:tcPr>
            <w:tcW w:w="2035" w:type="dxa"/>
          </w:tcPr>
          <w:p w14:paraId="750D0043">
            <w:p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Управление</w:t>
            </w:r>
          </w:p>
        </w:tc>
      </w:tr>
      <w:tr w14:paraId="5AFF0D0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94" w:type="dxa"/>
          </w:tcPr>
          <w:p w14:paraId="2E7D5624">
            <w:p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4738" w:type="dxa"/>
          </w:tcPr>
          <w:p w14:paraId="7ABEF660">
            <w:pPr>
              <w:spacing w:after="0" w:line="240" w:lineRule="auto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Консультирование</w:t>
            </w:r>
          </w:p>
          <w:p w14:paraId="482D5920">
            <w:p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Консультирование контролируемых лиц и их представителей по вопросам, связанным с организацией и осуществлением муниципального контроля, проводится в устной и письменной форме без взимания платы.</w:t>
            </w:r>
          </w:p>
        </w:tc>
        <w:tc>
          <w:tcPr>
            <w:tcW w:w="2564" w:type="dxa"/>
          </w:tcPr>
          <w:p w14:paraId="2C06F6A1">
            <w:p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 мере необходимости</w:t>
            </w:r>
          </w:p>
        </w:tc>
        <w:tc>
          <w:tcPr>
            <w:tcW w:w="2035" w:type="dxa"/>
          </w:tcPr>
          <w:p w14:paraId="51C8F951">
            <w:p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Управление</w:t>
            </w:r>
          </w:p>
        </w:tc>
      </w:tr>
      <w:tr w14:paraId="30F351B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94" w:type="dxa"/>
          </w:tcPr>
          <w:p w14:paraId="4182FA82">
            <w:p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4738" w:type="dxa"/>
          </w:tcPr>
          <w:p w14:paraId="1E1BA9AE">
            <w:pPr>
              <w:spacing w:after="0" w:line="240" w:lineRule="auto"/>
              <w:rPr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Обобщение правоприменительной практики</w:t>
            </w:r>
          </w:p>
          <w:p w14:paraId="685000F6">
            <w:p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Управление осуществляет обобщение правоприменительной практики ‎и проведения муниципального контроля один раз в год. </w:t>
            </w:r>
          </w:p>
          <w:p w14:paraId="0BB6DCF1">
            <w:p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 итогам обобщения правоприменительной практики обеспечивается подготовка доклада о результатах правоприменительной практики и проведения муниципального контроля</w:t>
            </w:r>
          </w:p>
        </w:tc>
        <w:tc>
          <w:tcPr>
            <w:tcW w:w="2564" w:type="dxa"/>
          </w:tcPr>
          <w:p w14:paraId="573F5263">
            <w:p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Не позднее 1 марта, следующего за отчетным годом</w:t>
            </w:r>
          </w:p>
        </w:tc>
        <w:tc>
          <w:tcPr>
            <w:tcW w:w="2035" w:type="dxa"/>
          </w:tcPr>
          <w:p w14:paraId="2DC23120">
            <w:p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Управление</w:t>
            </w:r>
          </w:p>
        </w:tc>
      </w:tr>
      <w:tr w14:paraId="1BDB53A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94" w:type="dxa"/>
          </w:tcPr>
          <w:p w14:paraId="3AAB2A11">
            <w:p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5 </w:t>
            </w:r>
          </w:p>
        </w:tc>
        <w:tc>
          <w:tcPr>
            <w:tcW w:w="4738" w:type="dxa"/>
          </w:tcPr>
          <w:p w14:paraId="7C829BD9">
            <w:pPr>
              <w:spacing w:after="0" w:line="240" w:lineRule="auto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Профилактический визит </w:t>
            </w:r>
          </w:p>
          <w:p w14:paraId="371243A7">
            <w:pPr>
              <w:spacing w:after="0" w:line="240" w:lineRule="auto"/>
              <w:rPr>
                <w:b/>
                <w:sz w:val="28"/>
                <w:szCs w:val="28"/>
              </w:rPr>
            </w:pPr>
          </w:p>
        </w:tc>
        <w:tc>
          <w:tcPr>
            <w:tcW w:w="2564" w:type="dxa"/>
          </w:tcPr>
          <w:p w14:paraId="4486FE10">
            <w:p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Один раз в год </w:t>
            </w:r>
          </w:p>
        </w:tc>
        <w:tc>
          <w:tcPr>
            <w:tcW w:w="2035" w:type="dxa"/>
          </w:tcPr>
          <w:p w14:paraId="04A75532">
            <w:pPr>
              <w:spacing w:after="0"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Управление</w:t>
            </w:r>
          </w:p>
        </w:tc>
      </w:tr>
    </w:tbl>
    <w:p w14:paraId="14E099D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4. Показатели результативности и эффективности Программы</w:t>
      </w:r>
    </w:p>
    <w:tbl>
      <w:tblPr>
        <w:tblStyle w:val="3"/>
        <w:tblW w:w="9912" w:type="dxa"/>
        <w:tblInd w:w="0" w:type="dxa"/>
        <w:tblLayout w:type="fixed"/>
        <w:tblCellMar>
          <w:top w:w="0" w:type="dxa"/>
          <w:left w:w="10" w:type="dxa"/>
          <w:bottom w:w="0" w:type="dxa"/>
          <w:right w:w="10" w:type="dxa"/>
        </w:tblCellMar>
      </w:tblPr>
      <w:tblGrid>
        <w:gridCol w:w="577"/>
        <w:gridCol w:w="5387"/>
        <w:gridCol w:w="3948"/>
      </w:tblGrid>
      <w:tr w14:paraId="549EE92E"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76" w:hRule="exact"/>
        </w:trPr>
        <w:tc>
          <w:tcPr>
            <w:tcW w:w="577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</w:tcPr>
          <w:p w14:paraId="0B1D3A24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№</w:t>
            </w:r>
          </w:p>
          <w:p w14:paraId="63E6B0B9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п/п</w:t>
            </w:r>
          </w:p>
        </w:tc>
        <w:tc>
          <w:tcPr>
            <w:tcW w:w="5387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</w:tcPr>
          <w:p w14:paraId="6BB882A5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Наименование показателя</w:t>
            </w:r>
          </w:p>
        </w:tc>
        <w:tc>
          <w:tcPr>
            <w:tcW w:w="3948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</w:tcPr>
          <w:p w14:paraId="0B6DA028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Величина</w:t>
            </w:r>
          </w:p>
        </w:tc>
      </w:tr>
      <w:tr w14:paraId="3C4CAD36"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4086" w:hRule="exact"/>
        </w:trPr>
        <w:tc>
          <w:tcPr>
            <w:tcW w:w="577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</w:tcPr>
          <w:p w14:paraId="5F30EA4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11.</w:t>
            </w:r>
          </w:p>
        </w:tc>
        <w:tc>
          <w:tcPr>
            <w:tcW w:w="5387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</w:tcPr>
          <w:p w14:paraId="60D24B9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Полнота информации, размещенной на официальном сайте Администрации </w:t>
            </w:r>
            <w:r>
              <w:fldChar w:fldCharType="begin"/>
            </w:r>
            <w:r>
              <w:instrText xml:space="preserve"> HYPERLINK "https://krasnozerskoe.nso.ru/" </w:instrText>
            </w:r>
            <w:r>
              <w:fldChar w:fldCharType="separate"/>
            </w:r>
            <w:r>
              <w:rPr>
                <w:rStyle w:val="6"/>
                <w:sz w:val="28"/>
                <w:szCs w:val="28"/>
              </w:rPr>
              <w:t>https://</w:t>
            </w:r>
            <w:r>
              <w:rPr>
                <w:rStyle w:val="6"/>
                <w:sz w:val="28"/>
                <w:szCs w:val="28"/>
                <w:lang w:val="en-US"/>
              </w:rPr>
              <w:t>krasnozerskoe</w:t>
            </w:r>
            <w:r>
              <w:rPr>
                <w:rStyle w:val="6"/>
                <w:sz w:val="28"/>
                <w:szCs w:val="28"/>
              </w:rPr>
              <w:t>.</w:t>
            </w:r>
            <w:r>
              <w:rPr>
                <w:rStyle w:val="6"/>
                <w:sz w:val="28"/>
                <w:szCs w:val="28"/>
                <w:lang w:val="en-US"/>
              </w:rPr>
              <w:t>nso</w:t>
            </w:r>
            <w:r>
              <w:rPr>
                <w:rStyle w:val="6"/>
                <w:sz w:val="28"/>
                <w:szCs w:val="28"/>
              </w:rPr>
              <w:t>.ru/</w:t>
            </w:r>
            <w:r>
              <w:rPr>
                <w:rStyle w:val="6"/>
                <w:sz w:val="28"/>
                <w:szCs w:val="28"/>
              </w:rPr>
              <w:fldChar w:fldCharType="end"/>
            </w:r>
            <w:r>
              <w:rPr>
                <w:sz w:val="28"/>
                <w:szCs w:val="28"/>
              </w:rPr>
              <w:t xml:space="preserve"> в сети «Интернет» в соответствии с частью 3 статьи 46 Федерального закона от 31 июля 2021 г. № 248-ФЗ «О государственном контроле (надзоре) и муниципальном контроле в Российской Федерации»</w:t>
            </w:r>
          </w:p>
          <w:p w14:paraId="3ECA5EBD">
            <w:pPr>
              <w:rPr>
                <w:sz w:val="28"/>
                <w:szCs w:val="28"/>
              </w:rPr>
            </w:pPr>
          </w:p>
        </w:tc>
        <w:tc>
          <w:tcPr>
            <w:tcW w:w="3948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</w:tcPr>
          <w:p w14:paraId="716B959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100%</w:t>
            </w:r>
          </w:p>
        </w:tc>
      </w:tr>
      <w:tr w14:paraId="7AEE2860"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165" w:hRule="exact"/>
        </w:trPr>
        <w:tc>
          <w:tcPr>
            <w:tcW w:w="5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</w:tcPr>
          <w:p w14:paraId="4CE0C50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22.</w:t>
            </w:r>
          </w:p>
        </w:tc>
        <w:tc>
          <w:tcPr>
            <w:tcW w:w="53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</w:tcPr>
          <w:p w14:paraId="519233C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Утверждение   доклада, содержащего результаты обобщения правоприменительной практики по осуществлению муниципального контроля, его опубликование</w:t>
            </w:r>
          </w:p>
          <w:p w14:paraId="278C5E86">
            <w:pPr>
              <w:rPr>
                <w:sz w:val="28"/>
                <w:szCs w:val="28"/>
              </w:rPr>
            </w:pPr>
          </w:p>
        </w:tc>
        <w:tc>
          <w:tcPr>
            <w:tcW w:w="39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</w:tcPr>
          <w:p w14:paraId="40F1129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Исполнено/ Не исполнено</w:t>
            </w:r>
          </w:p>
        </w:tc>
      </w:tr>
      <w:tr w14:paraId="5296102B"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4407" w:hRule="exact"/>
        </w:trPr>
        <w:tc>
          <w:tcPr>
            <w:tcW w:w="5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</w:tcPr>
          <w:p w14:paraId="341716C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</w:t>
            </w:r>
          </w:p>
        </w:tc>
        <w:tc>
          <w:tcPr>
            <w:tcW w:w="53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</w:tcPr>
          <w:p w14:paraId="06D3E3A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Доля выданных предостережений по результатам рассмотрения обращений с  подтвердившимися сведениями о готовящихся нарушениях обязательных требований или признаках нарушений обязательных требований и  в случае отсутствия подтвержденных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ценностям,   (%)</w:t>
            </w:r>
          </w:p>
        </w:tc>
        <w:tc>
          <w:tcPr>
            <w:tcW w:w="39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</w:tcPr>
          <w:p w14:paraId="5167CF5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20% и более</w:t>
            </w:r>
          </w:p>
        </w:tc>
      </w:tr>
      <w:tr w14:paraId="102EA45A"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276" w:hRule="exact"/>
        </w:trPr>
        <w:tc>
          <w:tcPr>
            <w:tcW w:w="5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</w:tcPr>
          <w:p w14:paraId="251AA53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4.</w:t>
            </w:r>
          </w:p>
        </w:tc>
        <w:tc>
          <w:tcPr>
            <w:tcW w:w="53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</w:tcPr>
          <w:p w14:paraId="1DDCB97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Доля лиц, удовлетворённых консультированием в общем количестве лиц, обратившихся за консультированием</w:t>
            </w:r>
          </w:p>
          <w:p w14:paraId="5713148B">
            <w:pPr>
              <w:rPr>
                <w:sz w:val="28"/>
                <w:szCs w:val="28"/>
              </w:rPr>
            </w:pPr>
          </w:p>
        </w:tc>
        <w:tc>
          <w:tcPr>
            <w:tcW w:w="39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</w:tcPr>
          <w:p w14:paraId="7BFC954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100%</w:t>
            </w:r>
          </w:p>
        </w:tc>
      </w:tr>
    </w:tbl>
    <w:p w14:paraId="1EC4C0C3">
      <w:pPr>
        <w:rPr>
          <w:sz w:val="28"/>
          <w:szCs w:val="28"/>
        </w:rPr>
      </w:pPr>
    </w:p>
    <w:p w14:paraId="4DFDE6F7">
      <w:pPr>
        <w:rPr>
          <w:sz w:val="28"/>
          <w:szCs w:val="28"/>
        </w:rPr>
      </w:pPr>
    </w:p>
    <w:sectPr>
      <w:pgSz w:w="11906" w:h="16838"/>
      <w:pgMar w:top="1134" w:right="850" w:bottom="142" w:left="1701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CC"/>
    <w:family w:val="swiss"/>
    <w:pitch w:val="default"/>
    <w:sig w:usb0="E4002EFF" w:usb1="C000247B" w:usb2="00000009" w:usb3="00000000" w:csb0="200001FF" w:csb1="00000000"/>
  </w:font>
  <w:font w:name="Tahoma">
    <w:panose1 w:val="020B0604030504040204"/>
    <w:charset w:val="CC"/>
    <w:family w:val="swiss"/>
    <w:pitch w:val="default"/>
    <w:sig w:usb0="E1002EFF" w:usb1="C000605B" w:usb2="00000029" w:usb3="00000000" w:csb0="200101FF" w:csb1="20280000"/>
  </w:font>
  <w:font w:name="Arial">
    <w:panose1 w:val="020B0604020202020204"/>
    <w:charset w:val="CC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CC"/>
    <w:family w:val="modern"/>
    <w:pitch w:val="default"/>
    <w:sig w:usb0="E0002EFF" w:usb1="C0007843" w:usb2="00000009" w:usb3="00000000" w:csb0="400001FF" w:csb1="FFFF0000"/>
  </w:font>
  <w:font w:name="Courier Std">
    <w:altName w:val="Courier New"/>
    <w:panose1 w:val="00000000000000000000"/>
    <w:charset w:val="CC"/>
    <w:family w:val="swiss"/>
    <w:pitch w:val="default"/>
    <w:sig w:usb0="00000000" w:usb1="00000000" w:usb2="00000000" w:usb3="00000000" w:csb0="00000004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2D414D9D"/>
    <w:multiLevelType w:val="multilevel"/>
    <w:tmpl w:val="2D414D9D"/>
    <w:lvl w:ilvl="0" w:tentative="0">
      <w:start w:val="1"/>
      <w:numFmt w:val="decimal"/>
      <w:lvlText w:val="%1)"/>
      <w:lvlJc w:val="left"/>
      <w:pPr>
        <w:ind w:left="927" w:hanging="360"/>
      </w:pPr>
      <w:rPr>
        <w:rFonts w:hint="default"/>
        <w:sz w:val="20"/>
      </w:rPr>
    </w:lvl>
    <w:lvl w:ilvl="1" w:tentative="0">
      <w:start w:val="1"/>
      <w:numFmt w:val="lowerLetter"/>
      <w:lvlText w:val="%2."/>
      <w:lvlJc w:val="left"/>
      <w:pPr>
        <w:ind w:left="1647" w:hanging="360"/>
      </w:pPr>
    </w:lvl>
    <w:lvl w:ilvl="2" w:tentative="0">
      <w:start w:val="1"/>
      <w:numFmt w:val="lowerRoman"/>
      <w:lvlText w:val="%3."/>
      <w:lvlJc w:val="right"/>
      <w:pPr>
        <w:ind w:left="2367" w:hanging="180"/>
      </w:pPr>
    </w:lvl>
    <w:lvl w:ilvl="3" w:tentative="0">
      <w:start w:val="1"/>
      <w:numFmt w:val="decimal"/>
      <w:lvlText w:val="%4."/>
      <w:lvlJc w:val="left"/>
      <w:pPr>
        <w:ind w:left="3087" w:hanging="360"/>
      </w:pPr>
    </w:lvl>
    <w:lvl w:ilvl="4" w:tentative="0">
      <w:start w:val="1"/>
      <w:numFmt w:val="lowerLetter"/>
      <w:lvlText w:val="%5."/>
      <w:lvlJc w:val="left"/>
      <w:pPr>
        <w:ind w:left="3807" w:hanging="360"/>
      </w:pPr>
    </w:lvl>
    <w:lvl w:ilvl="5" w:tentative="0">
      <w:start w:val="1"/>
      <w:numFmt w:val="lowerRoman"/>
      <w:lvlText w:val="%6."/>
      <w:lvlJc w:val="right"/>
      <w:pPr>
        <w:ind w:left="4527" w:hanging="180"/>
      </w:pPr>
    </w:lvl>
    <w:lvl w:ilvl="6" w:tentative="0">
      <w:start w:val="1"/>
      <w:numFmt w:val="decimal"/>
      <w:lvlText w:val="%7."/>
      <w:lvlJc w:val="left"/>
      <w:pPr>
        <w:ind w:left="5247" w:hanging="360"/>
      </w:pPr>
    </w:lvl>
    <w:lvl w:ilvl="7" w:tentative="0">
      <w:start w:val="1"/>
      <w:numFmt w:val="lowerLetter"/>
      <w:lvlText w:val="%8."/>
      <w:lvlJc w:val="left"/>
      <w:pPr>
        <w:ind w:left="5967" w:hanging="360"/>
      </w:pPr>
    </w:lvl>
    <w:lvl w:ilvl="8" w:tentative="0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cumentProtection w:enforcement="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A318D"/>
    <w:rsid w:val="00010114"/>
    <w:rsid w:val="00024657"/>
    <w:rsid w:val="000324BB"/>
    <w:rsid w:val="00056F77"/>
    <w:rsid w:val="00085BC0"/>
    <w:rsid w:val="00087FD1"/>
    <w:rsid w:val="0009243E"/>
    <w:rsid w:val="001A415E"/>
    <w:rsid w:val="002151AE"/>
    <w:rsid w:val="00243FFE"/>
    <w:rsid w:val="00246986"/>
    <w:rsid w:val="0029346A"/>
    <w:rsid w:val="002D4E3C"/>
    <w:rsid w:val="003B6304"/>
    <w:rsid w:val="004130EE"/>
    <w:rsid w:val="004717DE"/>
    <w:rsid w:val="0049091B"/>
    <w:rsid w:val="00493506"/>
    <w:rsid w:val="00495BF8"/>
    <w:rsid w:val="004A144F"/>
    <w:rsid w:val="004E7B51"/>
    <w:rsid w:val="0050442D"/>
    <w:rsid w:val="00553DA2"/>
    <w:rsid w:val="005B0FCA"/>
    <w:rsid w:val="005B6631"/>
    <w:rsid w:val="00601410"/>
    <w:rsid w:val="0060620A"/>
    <w:rsid w:val="006235AB"/>
    <w:rsid w:val="00635DF3"/>
    <w:rsid w:val="0064146C"/>
    <w:rsid w:val="006456B9"/>
    <w:rsid w:val="00645997"/>
    <w:rsid w:val="006A3C61"/>
    <w:rsid w:val="006C4B4E"/>
    <w:rsid w:val="00710D65"/>
    <w:rsid w:val="00792B07"/>
    <w:rsid w:val="007A322F"/>
    <w:rsid w:val="008348ED"/>
    <w:rsid w:val="008445C2"/>
    <w:rsid w:val="00882D78"/>
    <w:rsid w:val="00921B4B"/>
    <w:rsid w:val="009451C7"/>
    <w:rsid w:val="00997B73"/>
    <w:rsid w:val="009B382B"/>
    <w:rsid w:val="009E29EF"/>
    <w:rsid w:val="009F1B0B"/>
    <w:rsid w:val="00A019E1"/>
    <w:rsid w:val="00A22B0E"/>
    <w:rsid w:val="00A26BB5"/>
    <w:rsid w:val="00AB4FC0"/>
    <w:rsid w:val="00B9181F"/>
    <w:rsid w:val="00B9767F"/>
    <w:rsid w:val="00C44D85"/>
    <w:rsid w:val="00C9177A"/>
    <w:rsid w:val="00C92CEF"/>
    <w:rsid w:val="00CA18A7"/>
    <w:rsid w:val="00D1273F"/>
    <w:rsid w:val="00D56E1E"/>
    <w:rsid w:val="00DC1A3E"/>
    <w:rsid w:val="00DE2691"/>
    <w:rsid w:val="00E122B6"/>
    <w:rsid w:val="00E50D53"/>
    <w:rsid w:val="00E719A9"/>
    <w:rsid w:val="00E83AB0"/>
    <w:rsid w:val="00E94E9D"/>
    <w:rsid w:val="00EA318D"/>
    <w:rsid w:val="00EA363A"/>
    <w:rsid w:val="00ED4D3A"/>
    <w:rsid w:val="00EF6B96"/>
    <w:rsid w:val="00F751CD"/>
    <w:rsid w:val="00F814E7"/>
    <w:rsid w:val="00FB24AA"/>
    <w:rsid w:val="00FD7254"/>
    <w:rsid w:val="00FF2F6F"/>
    <w:rsid w:val="368E18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qFormat="1" w:unhideWhenUsed="0" w:uiPriority="0" w:semiHidden="0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nhideWhenUsed="0" w:uiPriority="0" w:semiHidden="0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semiHidden="0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qFormat="1" w:unhideWhenUsed="0" w:uiPriority="1" w:semiHidden="0" w:name="No Spacing"/>
    <w:lsdException w:qFormat="1" w:unhideWhenUsed="0" w:uiPriority="34" w:semiHidden="0" w:name="List Paragraph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Theme="minorHAnsi" w:hAnsiTheme="minorHAnsi" w:eastAsiaTheme="minorEastAsia" w:cstheme="minorBidi"/>
      <w:sz w:val="22"/>
      <w:szCs w:val="22"/>
      <w:lang w:val="ru-RU" w:eastAsia="ru-RU" w:bidi="ar-SA"/>
    </w:rPr>
  </w:style>
  <w:style w:type="character" w:default="1" w:styleId="2">
    <w:name w:val="Default Paragraph Font"/>
    <w:semiHidden/>
    <w:unhideWhenUsed/>
    <w:uiPriority w:val="1"/>
  </w:style>
  <w:style w:type="table" w:default="1" w:styleId="3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4">
    <w:name w:val="footnote reference"/>
    <w:uiPriority w:val="0"/>
    <w:rPr>
      <w:vertAlign w:val="superscript"/>
    </w:rPr>
  </w:style>
  <w:style w:type="character" w:styleId="5">
    <w:name w:val="Emphasis"/>
    <w:qFormat/>
    <w:uiPriority w:val="20"/>
    <w:rPr>
      <w:i/>
      <w:iCs/>
    </w:rPr>
  </w:style>
  <w:style w:type="character" w:styleId="6">
    <w:name w:val="Hyperlink"/>
    <w:basedOn w:val="2"/>
    <w:unhideWhenUsed/>
    <w:uiPriority w:val="99"/>
    <w:rPr>
      <w:color w:val="0000FF" w:themeColor="hyperlink"/>
      <w:u w:val="single"/>
      <w14:textFill>
        <w14:solidFill>
          <w14:schemeClr w14:val="hlink"/>
        </w14:solidFill>
      </w14:textFill>
    </w:rPr>
  </w:style>
  <w:style w:type="paragraph" w:styleId="7">
    <w:name w:val="Balloon Text"/>
    <w:basedOn w:val="1"/>
    <w:link w:val="14"/>
    <w:semiHidden/>
    <w:unhideWhenUsed/>
    <w:uiPriority w:val="99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8">
    <w:name w:val="footnote text"/>
    <w:basedOn w:val="1"/>
    <w:link w:val="21"/>
    <w:qFormat/>
    <w:uiPriority w:val="0"/>
    <w:pPr>
      <w:spacing w:after="0" w:line="240" w:lineRule="auto"/>
    </w:pPr>
    <w:rPr>
      <w:rFonts w:ascii="Times New Roman" w:hAnsi="Times New Roman" w:eastAsia="Times New Roman" w:cs="Times New Roman"/>
      <w:sz w:val="20"/>
      <w:szCs w:val="20"/>
    </w:rPr>
  </w:style>
  <w:style w:type="paragraph" w:styleId="9">
    <w:name w:val="header"/>
    <w:basedOn w:val="1"/>
    <w:link w:val="22"/>
    <w:unhideWhenUsed/>
    <w:uiPriority w:val="99"/>
    <w:pPr>
      <w:tabs>
        <w:tab w:val="center" w:pos="4677"/>
        <w:tab w:val="right" w:pos="9355"/>
      </w:tabs>
      <w:spacing w:after="0" w:line="240" w:lineRule="auto"/>
    </w:pPr>
  </w:style>
  <w:style w:type="paragraph" w:styleId="10">
    <w:name w:val="footer"/>
    <w:basedOn w:val="1"/>
    <w:link w:val="23"/>
    <w:unhideWhenUsed/>
    <w:uiPriority w:val="99"/>
    <w:pPr>
      <w:tabs>
        <w:tab w:val="center" w:pos="4677"/>
        <w:tab w:val="right" w:pos="9355"/>
      </w:tabs>
      <w:spacing w:after="0" w:line="240" w:lineRule="auto"/>
    </w:pPr>
  </w:style>
  <w:style w:type="paragraph" w:styleId="11">
    <w:name w:val="Normal (Web)"/>
    <w:basedOn w:val="1"/>
    <w:unhideWhenUsed/>
    <w:uiPriority w:val="99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</w:rPr>
  </w:style>
  <w:style w:type="paragraph" w:styleId="12">
    <w:name w:val="HTML Preformatted"/>
    <w:basedOn w:val="1"/>
    <w:link w:val="19"/>
    <w:unhideWhenUsed/>
    <w:uiPriority w:val="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 w:eastAsia="Times New Roman" w:cs="Times New Roman"/>
      <w:sz w:val="20"/>
      <w:szCs w:val="20"/>
    </w:rPr>
  </w:style>
  <w:style w:type="table" w:styleId="13">
    <w:name w:val="Table Grid"/>
    <w:basedOn w:val="3"/>
    <w:uiPriority w:val="59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4">
    <w:name w:val="Текст выноски Знак"/>
    <w:basedOn w:val="2"/>
    <w:link w:val="7"/>
    <w:semiHidden/>
    <w:uiPriority w:val="99"/>
    <w:rPr>
      <w:rFonts w:ascii="Tahoma" w:hAnsi="Tahoma" w:cs="Tahoma"/>
      <w:sz w:val="16"/>
      <w:szCs w:val="16"/>
    </w:rPr>
  </w:style>
  <w:style w:type="paragraph" w:styleId="15">
    <w:name w:val="No Spacing"/>
    <w:qFormat/>
    <w:uiPriority w:val="1"/>
    <w:pPr>
      <w:spacing w:after="0" w:line="240" w:lineRule="auto"/>
    </w:pPr>
    <w:rPr>
      <w:rFonts w:asciiTheme="minorHAnsi" w:hAnsiTheme="minorHAnsi" w:eastAsiaTheme="minorEastAsia" w:cstheme="minorBidi"/>
      <w:sz w:val="22"/>
      <w:szCs w:val="22"/>
      <w:lang w:val="ru-RU" w:eastAsia="ru-RU" w:bidi="ar-SA"/>
    </w:rPr>
  </w:style>
  <w:style w:type="paragraph" w:styleId="16">
    <w:name w:val="List Paragraph"/>
    <w:basedOn w:val="1"/>
    <w:qFormat/>
    <w:uiPriority w:val="34"/>
    <w:pPr>
      <w:ind w:left="720"/>
      <w:contextualSpacing/>
    </w:pPr>
  </w:style>
  <w:style w:type="paragraph" w:customStyle="1" w:styleId="17">
    <w:name w:val="ConsPlusNormal"/>
    <w:link w:val="18"/>
    <w:uiPriority w:val="0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eastAsia="Times New Roman" w:cs="Arial"/>
      <w:sz w:val="20"/>
      <w:szCs w:val="20"/>
      <w:lang w:val="ru-RU" w:eastAsia="ru-RU" w:bidi="ar-SA"/>
    </w:rPr>
  </w:style>
  <w:style w:type="character" w:customStyle="1" w:styleId="18">
    <w:name w:val="ConsPlusNormal1"/>
    <w:link w:val="17"/>
    <w:locked/>
    <w:uiPriority w:val="0"/>
    <w:rPr>
      <w:rFonts w:ascii="Arial" w:hAnsi="Arial" w:eastAsia="Times New Roman" w:cs="Arial"/>
      <w:sz w:val="20"/>
      <w:szCs w:val="20"/>
      <w:lang w:eastAsia="ru-RU"/>
    </w:rPr>
  </w:style>
  <w:style w:type="character" w:customStyle="1" w:styleId="19">
    <w:name w:val="Стандартный HTML Знак"/>
    <w:basedOn w:val="2"/>
    <w:link w:val="12"/>
    <w:qFormat/>
    <w:uiPriority w:val="99"/>
    <w:rPr>
      <w:rFonts w:ascii="Courier New" w:hAnsi="Courier New" w:eastAsia="Times New Roman" w:cs="Times New Roman"/>
      <w:sz w:val="20"/>
      <w:szCs w:val="20"/>
    </w:rPr>
  </w:style>
  <w:style w:type="paragraph" w:customStyle="1" w:styleId="20">
    <w:name w:val="Default"/>
    <w:uiPriority w:val="0"/>
    <w:pPr>
      <w:autoSpaceDE w:val="0"/>
      <w:autoSpaceDN w:val="0"/>
      <w:adjustRightInd w:val="0"/>
      <w:spacing w:after="0" w:line="240" w:lineRule="auto"/>
    </w:pPr>
    <w:rPr>
      <w:rFonts w:ascii="Courier Std" w:hAnsi="Courier Std" w:eastAsia="Times New Roman" w:cs="Courier Std"/>
      <w:color w:val="000000"/>
      <w:sz w:val="24"/>
      <w:szCs w:val="24"/>
      <w:lang w:val="ru-RU" w:eastAsia="ru-RU" w:bidi="ar-SA"/>
    </w:rPr>
  </w:style>
  <w:style w:type="character" w:customStyle="1" w:styleId="21">
    <w:name w:val="Текст сноски Знак"/>
    <w:basedOn w:val="2"/>
    <w:link w:val="8"/>
    <w:uiPriority w:val="0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customStyle="1" w:styleId="22">
    <w:name w:val="Верхний колонтитул Знак"/>
    <w:basedOn w:val="2"/>
    <w:link w:val="9"/>
    <w:uiPriority w:val="99"/>
  </w:style>
  <w:style w:type="character" w:customStyle="1" w:styleId="23">
    <w:name w:val="Нижний колонтитул Знак"/>
    <w:basedOn w:val="2"/>
    <w:link w:val="10"/>
    <w:uiPriority w:val="99"/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numbering" Target="numbering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2A49B4-7F33-4AA7-8A2A-67EC50834DFF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6</Pages>
  <Words>1731</Words>
  <Characters>9867</Characters>
  <Lines>82</Lines>
  <Paragraphs>23</Paragraphs>
  <TotalTime>0</TotalTime>
  <ScaleCrop>false</ScaleCrop>
  <LinksUpToDate>false</LinksUpToDate>
  <CharactersWithSpaces>11575</CharactersWithSpaces>
  <Application>WPS Office_12.2.0.18283_F1E327BC-269C-435d-A152-05C5408002CA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2024-09-30T03:40:00Z</dcterms:created>
  <dc:creator>user</dc:creator>
  <cp:lastModifiedBy>Лиля</cp:lastModifiedBy>
  <cp:lastPrinted>2022-12-23T08:05:00Z</cp:lastPrinted>
  <dcterms:modified xsi:type="dcterms:W3CDTF">2024-10-01T02:14:54Z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1049-12.2.0.18283</vt:lpwstr>
  </property>
  <property fmtid="{D5CDD505-2E9C-101B-9397-08002B2CF9AE}" pid="3" name="ICV">
    <vt:lpwstr>4A61A1DD65DA4C53A4130A1CE88B0481_12</vt:lpwstr>
  </property>
</Properties>
</file>