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DE4816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 xml:space="preserve"> </w:t>
      </w:r>
      <w:r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  <w:t xml:space="preserve">Приложение </w:t>
      </w:r>
    </w:p>
    <w:p w14:paraId="3783CD96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  <w:t xml:space="preserve">к постановлению администрации </w:t>
      </w:r>
    </w:p>
    <w:p w14:paraId="6FDB0A4E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  <w:t>Краснозерского района</w:t>
      </w:r>
    </w:p>
    <w:p w14:paraId="5CB18066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  <w:t xml:space="preserve"> Новосибирской области</w:t>
      </w:r>
    </w:p>
    <w:p w14:paraId="67406B2C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  <w:t xml:space="preserve"> от 03.11.2020 № 788</w:t>
      </w:r>
    </w:p>
    <w:p w14:paraId="383F17D9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  <w:t>(в</w:t>
      </w:r>
      <w:r>
        <w:rPr>
          <w:rFonts w:hint="default" w:ascii="Times New Roman" w:hAnsi="Times New Roman" w:eastAsia="Times New Roman" w:cs="Tahoma"/>
          <w:color w:val="auto"/>
          <w:kern w:val="1"/>
          <w:sz w:val="28"/>
          <w:szCs w:val="28"/>
          <w:lang w:val="ru-RU" w:eastAsia="en-US"/>
        </w:rPr>
        <w:t xml:space="preserve"> </w:t>
      </w: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 xml:space="preserve"> </w:t>
      </w:r>
      <w:r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  <w:t xml:space="preserve"> ред. постановления администрации </w:t>
      </w:r>
    </w:p>
    <w:p w14:paraId="5FF6B02B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  <w:t>Краснозерского района</w:t>
      </w:r>
    </w:p>
    <w:p w14:paraId="2B3FEBD7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8"/>
          <w:szCs w:val="28"/>
          <w:lang w:eastAsia="en-US"/>
        </w:rPr>
        <w:t xml:space="preserve">Новосибирской области </w:t>
      </w:r>
    </w:p>
    <w:p w14:paraId="1B17CF32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 xml:space="preserve"> от 31.01.2022 № 100</w:t>
      </w:r>
    </w:p>
    <w:p w14:paraId="7B2FEBA3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>от 18.05.2022 № 495</w:t>
      </w:r>
    </w:p>
    <w:p w14:paraId="528E9D99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>от 08.08.2022 № 735</w:t>
      </w:r>
    </w:p>
    <w:p w14:paraId="06FC4870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>от 31.01.2023 № 51</w:t>
      </w:r>
    </w:p>
    <w:p w14:paraId="705542B9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 xml:space="preserve"> от 15.08.2023 № 622 </w:t>
      </w:r>
    </w:p>
    <w:p w14:paraId="45D5EF5B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>от 03.06.2024 № 371</w:t>
      </w:r>
    </w:p>
    <w:p w14:paraId="1D6D93D2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>от 21.08.2024 № 575</w:t>
      </w:r>
    </w:p>
    <w:p w14:paraId="59CE0B05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 xml:space="preserve">                                                                                                                   от 25.10.2024 № 788</w:t>
      </w:r>
    </w:p>
    <w:p w14:paraId="0603CC25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</w:pPr>
      <w:r>
        <w:rPr>
          <w:rFonts w:hint="default" w:ascii="Times New Roman" w:hAnsi="Times New Roman" w:eastAsia="Times New Roman" w:cs="Tahoma"/>
          <w:color w:val="auto"/>
          <w:kern w:val="1"/>
          <w:sz w:val="27"/>
          <w:szCs w:val="27"/>
          <w:lang w:val="ru-RU" w:eastAsia="en-US"/>
        </w:rPr>
        <w:t xml:space="preserve">     </w:t>
      </w: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val="ru-RU" w:eastAsia="en-US"/>
        </w:rPr>
        <w:t>от</w:t>
      </w:r>
      <w:r>
        <w:rPr>
          <w:rFonts w:hint="default" w:ascii="Times New Roman" w:hAnsi="Times New Roman" w:eastAsia="Times New Roman" w:cs="Tahoma"/>
          <w:color w:val="auto"/>
          <w:kern w:val="1"/>
          <w:sz w:val="27"/>
          <w:szCs w:val="27"/>
          <w:lang w:val="ru-RU" w:eastAsia="en-US"/>
        </w:rPr>
        <w:t xml:space="preserve"> 28.03.2025 №247 )</w:t>
      </w:r>
      <w:r>
        <w:rPr>
          <w:rFonts w:ascii="Times New Roman" w:hAnsi="Times New Roman" w:eastAsia="Times New Roman" w:cs="Tahoma"/>
          <w:color w:val="auto"/>
          <w:kern w:val="1"/>
          <w:sz w:val="27"/>
          <w:szCs w:val="27"/>
          <w:lang w:eastAsia="en-US"/>
        </w:rPr>
        <w:t xml:space="preserve">                                                                                  </w:t>
      </w:r>
    </w:p>
    <w:p w14:paraId="2B716F12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auto" w:sz="0" w:space="0"/>
        </w:pBdr>
        <w:suppressAutoHyphens/>
        <w:spacing w:after="120"/>
        <w:jc w:val="right"/>
        <w:textAlignment w:val="baseline"/>
        <w:rPr>
          <w:rFonts w:ascii="Times New Roman" w:hAnsi="Times New Roman" w:eastAsia="Times New Roman" w:cs="Times New Roman"/>
          <w:kern w:val="1"/>
          <w:lang w:eastAsia="en-US"/>
        </w:rPr>
      </w:pPr>
      <w:r>
        <w:rPr>
          <w:rFonts w:ascii="Times New Roman" w:hAnsi="Times New Roman" w:eastAsia="Times New Roman" w:cs="Times New Roman"/>
          <w:kern w:val="1"/>
          <w:sz w:val="28"/>
          <w:szCs w:val="28"/>
          <w:lang w:eastAsia="en-US"/>
        </w:rPr>
        <w:t xml:space="preserve"> </w:t>
      </w:r>
    </w:p>
    <w:p w14:paraId="6783ECB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1.ПАСПОРТ</w:t>
      </w:r>
    </w:p>
    <w:p w14:paraId="2D056BA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Муниципальная программа</w:t>
      </w:r>
    </w:p>
    <w:p w14:paraId="1FD9EAE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«Развитие образования в Краснозерском районе Новосибирской области</w:t>
      </w:r>
    </w:p>
    <w:p w14:paraId="11BD209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2021-2025 годы»</w:t>
      </w:r>
    </w:p>
    <w:p w14:paraId="6415A172">
      <w:pPr>
        <w:ind w:left="360"/>
        <w:contextualSpacing/>
        <w:jc w:val="center"/>
        <w:rPr>
          <w:rFonts w:ascii="Times New Roman" w:hAnsi="Times New Roman" w:cs="Times New Roman"/>
        </w:rPr>
      </w:pPr>
    </w:p>
    <w:tbl>
      <w:tblPr>
        <w:tblStyle w:val="3"/>
        <w:tblW w:w="9933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36"/>
        <w:gridCol w:w="2536"/>
        <w:gridCol w:w="6961"/>
      </w:tblGrid>
      <w:tr w14:paraId="0DA5C27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46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B224D4D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N п/п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58A3346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Наименование разделов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414C1A7B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Краткое содержание</w:t>
            </w:r>
          </w:p>
        </w:tc>
      </w:tr>
      <w:tr w14:paraId="322111A8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6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7DB239E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1.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E2872D5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Наименование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267A35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«Развитие образования в Краснозерском районе Новосибирской области на 2021-2025 годы»</w:t>
            </w:r>
          </w:p>
        </w:tc>
      </w:tr>
      <w:tr w14:paraId="3CC3F74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46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CC21E2F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2.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E719FE8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Основание для разработки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779FD6D3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both"/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 xml:space="preserve"> Федеральный закон  от 06.10.2010 № 131-ФЗ «Об общих принципах организации местного  самоуправления в Российской Федерации», Федеральный закон  от  29.12.2012 № 273-ФЗ «Об образовании в Российской Федерации»</w:t>
            </w:r>
          </w:p>
          <w:p w14:paraId="548E8346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both"/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 xml:space="preserve">Государственная программа Новосибирской области «Развитие образования, создание условий для социализации детей и учащейся молодежи в Новосибирской  области», утвержденная  постановлением  Правительства Новосибирской области от 31.12.2014 № 576-П  </w:t>
            </w:r>
          </w:p>
        </w:tc>
      </w:tr>
      <w:tr w14:paraId="4548A0B3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67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35C5CE7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3.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1674CED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 xml:space="preserve">Разработчик (Разработчик -координатор) муниципальной </w:t>
            </w:r>
          </w:p>
          <w:p w14:paraId="37706BA9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26D19B5C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both"/>
              <w:textAlignment w:val="baseline"/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</w:pPr>
            <w:r>
              <w:rPr>
                <w:rFonts w:ascii="Times New Roman" w:hAnsi="Times New Roman" w:cs="Times New Roman"/>
              </w:rPr>
              <w:t>Администрация Краснозерского района Новосибирской области (муниципальное казенное учреждение Краснозерского района Новосибирской области «Управление образования Краснозерского района»)</w:t>
            </w:r>
          </w:p>
        </w:tc>
      </w:tr>
      <w:tr w14:paraId="130E140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828BE63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4.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7209C0BA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Исполнители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066DB358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both"/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Муниципальное казенное учреждение Краснозерского района Новосибирской области «Управление образования Краснозерского района», образовательные организации, МБУ ДО ДДТ,МБУ ДЮСШ, МКУ «Центр»</w:t>
            </w:r>
          </w:p>
        </w:tc>
      </w:tr>
      <w:tr w14:paraId="4EE34FE9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326ED56D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5.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5717E32A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Перечень подпрограмм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2D714FF0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both"/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Подпрограммы не  выделяются</w:t>
            </w:r>
          </w:p>
        </w:tc>
      </w:tr>
      <w:tr w14:paraId="0AD26193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363E20C4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6.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208DCB31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Цели и задачи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3A0ECD6F">
            <w:pPr>
              <w:jc w:val="both"/>
              <w:rPr>
                <w:rFonts w:ascii="Times New Roman" w:hAnsi="Times New Roman" w:cs="Times New Roman"/>
              </w:rPr>
            </w:pPr>
            <w:r>
              <w:t xml:space="preserve"> </w:t>
            </w:r>
            <w:r>
              <w:rPr>
                <w:rFonts w:ascii="Times New Roman" w:hAnsi="Times New Roman" w:cs="Times New Roman"/>
              </w:rPr>
              <w:t xml:space="preserve">Цель: обеспечение  соответствия высокого качества образования меняющимся запросам населения и перспективным задачам социально-экономического развития Краснозерского района. </w:t>
            </w:r>
          </w:p>
          <w:p w14:paraId="23FBC91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Задачи:</w:t>
            </w:r>
          </w:p>
          <w:p w14:paraId="7FB4ABDC">
            <w:pPr>
              <w:numPr>
                <w:ilvl w:val="0"/>
                <w:numId w:val="1"/>
              </w:numPr>
              <w:ind w:left="274" w:firstLine="0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Создание </w:t>
            </w:r>
            <w:r>
              <w:rPr>
                <w:rFonts w:ascii="Times New Roman" w:hAnsi="Times New Roman" w:eastAsia="Calibri" w:cs="Times New Roman"/>
              </w:rPr>
              <w:t xml:space="preserve">   в  системе  дошкольного,  общего  и  дополнительного образования детей условий для получения качественного образования, включая  развитие  и  модернизацию  базовой  инфраструктуры  и технологической образовательной среды образовательных организаций.</w:t>
            </w:r>
          </w:p>
          <w:p w14:paraId="3F041095">
            <w:pPr>
              <w:numPr>
                <w:ilvl w:val="0"/>
                <w:numId w:val="1"/>
              </w:numPr>
              <w:ind w:left="274" w:firstLine="0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Обеспечение  равных  возможностей  для  детей  в  получении качественного образования и позитивной социализации независимо от их  места  жительства,  состояния  здоровья  и  социально-экономического положения их семей.</w:t>
            </w:r>
          </w:p>
          <w:p w14:paraId="41FB20BA">
            <w:pPr>
              <w:numPr>
                <w:ilvl w:val="0"/>
                <w:numId w:val="1"/>
              </w:numPr>
              <w:ind w:left="274" w:firstLine="0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Формирование  условий  для активного 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  развития   системы   профессиональной   ориентации, повышения  активности  школьников  в  освоении  и  получении  новых знаний.</w:t>
            </w:r>
          </w:p>
          <w:p w14:paraId="04B024B7">
            <w:pPr>
              <w:numPr>
                <w:ilvl w:val="0"/>
                <w:numId w:val="1"/>
              </w:numPr>
              <w:ind w:left="274" w:firstLine="0"/>
              <w:contextualSpacing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eastAsia="Calibri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  <w:lang w:eastAsia="en-US"/>
              </w:rPr>
              <w:t>азвитие кадрового потенциала системы образования Краснозерского района Новосибирской области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13CCFE6A">
            <w:pPr>
              <w:numPr>
                <w:ilvl w:val="0"/>
                <w:numId w:val="1"/>
              </w:numPr>
              <w:ind w:left="274" w:firstLine="0"/>
              <w:contextualSpacing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eastAsia="Calibri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Обеспечение здорового питания обучающихся образовательных организаций Краснозерского района Новосибирской области, соответствующего возрастным физиологическим потребностям.</w:t>
            </w:r>
          </w:p>
          <w:p w14:paraId="5B816308">
            <w:pPr>
              <w:numPr>
                <w:ilvl w:val="0"/>
                <w:numId w:val="1"/>
              </w:numPr>
              <w:ind w:left="274" w:firstLine="0"/>
              <w:contextualSpacing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Развитие системы обеспечения безопасности функционирования и охраны здоровья в образовательных организациях  Краснозерского района Новосибирской области.</w:t>
            </w:r>
          </w:p>
          <w:p w14:paraId="622A2F52">
            <w:pPr>
              <w:numPr>
                <w:ilvl w:val="0"/>
                <w:numId w:val="1"/>
              </w:numPr>
              <w:ind w:left="274" w:firstLine="0"/>
              <w:contextualSpacing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Обеспечение функционирования системы персонифицированного финансирования дополнительного образования детей.</w:t>
            </w:r>
          </w:p>
        </w:tc>
      </w:tr>
      <w:tr w14:paraId="68A8288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4E7BA11A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7.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52D4B2B1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Целевые индикаторы и показатели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402D8DF6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Охват детей программами дошкольного образования.</w:t>
            </w:r>
          </w:p>
          <w:p w14:paraId="2EEA0C63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Отношение численности детей в возрасте от 3 до 7 лет, получающих дошкольное образование в текущем году, к сумме </w:t>
            </w:r>
            <w:r>
              <w:rPr>
                <w:rFonts w:ascii="Times New Roman" w:hAnsi="Times New Roman" w:eastAsia="Calibri" w:cs="Times New Roman"/>
                <w:sz w:val="22"/>
                <w:szCs w:val="22"/>
              </w:rPr>
              <w:t>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образования.</w:t>
            </w:r>
          </w:p>
          <w:p w14:paraId="4569C256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Доля выпускников общеобразовательных учреждений, не получивших аттестат о среднем общем образовании.</w:t>
            </w:r>
          </w:p>
          <w:p w14:paraId="3F18A480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Удельный вес численности учителей в возрасте до 35 лет в общей численности учителей общеобразовательных учреждений.</w:t>
            </w:r>
          </w:p>
          <w:p w14:paraId="59F2BD3E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вес численности руководителей образовательных организаций, прошедших в течение последних трех лет повышение квалификации или профессиональную переподготовку, в общей численности руководителей  образовательных организаций.</w:t>
            </w:r>
          </w:p>
          <w:p w14:paraId="4CD46993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eastAsia="Calibri" w:cs="Times New Roman"/>
              </w:rPr>
              <w:t>Удельный вес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образования.</w:t>
            </w:r>
          </w:p>
          <w:p w14:paraId="3DE39A1E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Удельный вес численности</w:t>
            </w:r>
            <w:r>
              <w:rPr>
                <w:rFonts w:ascii="Times New Roman" w:hAnsi="Times New Roman"/>
              </w:rPr>
              <w:t xml:space="preserve"> обучающихся </w:t>
            </w:r>
            <w:r>
              <w:rPr>
                <w:rFonts w:ascii="Times New Roman" w:hAnsi="Times New Roman" w:cs="Times New Roman"/>
              </w:rPr>
              <w:t xml:space="preserve"> общеобразовательных учреждений</w:t>
            </w:r>
            <w:r>
              <w:rPr>
                <w:rFonts w:ascii="Times New Roman" w:hAnsi="Times New Roman"/>
              </w:rPr>
              <w:t>,  которым предоставлена возможность обучаться в  соответствии с основными требованиями (с учетом федеральных образовательных стандартов), в общей численности обучающихся</w:t>
            </w:r>
            <w:r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/>
                <w:lang w:eastAsia="en-US"/>
              </w:rPr>
              <w:t xml:space="preserve"> </w:t>
            </w:r>
          </w:p>
          <w:p w14:paraId="60B3C2B9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eastAsia="en-US"/>
              </w:rPr>
              <w:t>Доля детей в возрасте 5-18 лет, охваченных  дополнительным образованием.</w:t>
            </w:r>
          </w:p>
          <w:p w14:paraId="39618D53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Охват обучающихся горячим питанием в общеобразовательных организациях  Краснозерского района.</w:t>
            </w:r>
          </w:p>
          <w:p w14:paraId="49884912">
            <w:pPr>
              <w:numPr>
                <w:ilvl w:val="0"/>
                <w:numId w:val="2"/>
              </w:numPr>
              <w:tabs>
                <w:tab w:val="left" w:pos="274"/>
              </w:tabs>
              <w:ind w:left="346" w:right="137" w:hanging="7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Охват детей персонифицированным финансированием.</w:t>
            </w:r>
          </w:p>
        </w:tc>
      </w:tr>
      <w:tr w14:paraId="6881E025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71041CDB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8.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1F1D2B9E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Сроки и этапы реализации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15503CC5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both"/>
              <w:textAlignment w:val="baseline"/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 xml:space="preserve"> </w:t>
            </w:r>
            <w:r>
              <w:rPr>
                <w:rFonts w:ascii="Times New Roman" w:hAnsi="Times New Roman" w:eastAsia="Andale Sans UI" w:cs="Times New Roman"/>
                <w:kern w:val="1"/>
                <w:lang w:val="en-US" w:eastAsia="en-US" w:bidi="en-US"/>
              </w:rPr>
              <w:t>20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21</w:t>
            </w:r>
            <w:r>
              <w:rPr>
                <w:rFonts w:ascii="Times New Roman" w:hAnsi="Times New Roman" w:eastAsia="Andale Sans UI" w:cs="Times New Roman"/>
                <w:kern w:val="1"/>
                <w:lang w:val="en-US" w:eastAsia="en-US" w:bidi="en-US"/>
              </w:rPr>
              <w:t>-202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5</w:t>
            </w:r>
            <w:r>
              <w:rPr>
                <w:rFonts w:ascii="Times New Roman" w:hAnsi="Times New Roman" w:eastAsia="Andale Sans UI" w:cs="Times New Roman"/>
                <w:kern w:val="1"/>
                <w:lang w:val="en-US" w:eastAsia="en-US" w:bidi="en-US"/>
              </w:rPr>
              <w:t xml:space="preserve"> годы. </w:t>
            </w:r>
          </w:p>
          <w:p w14:paraId="669630E6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jc w:val="both"/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kern w:val="1"/>
                <w:lang w:val="en-US" w:eastAsia="en-US" w:bidi="en-US"/>
              </w:rPr>
              <w:t>Этапы не выделяются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.</w:t>
            </w:r>
          </w:p>
        </w:tc>
      </w:tr>
      <w:tr w14:paraId="7B2C45E1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5DAF9940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bookmarkStart w:id="1" w:name="_GoBack"/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9.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45DB5F77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val="en-US" w:eastAsia="en-US" w:bidi="en-US"/>
              </w:rPr>
              <w:t>Ресурсное обеспечение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7ACC6D8D">
            <w:pPr>
              <w:pStyle w:val="9"/>
              <w:jc w:val="both"/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</w:pPr>
          </w:p>
          <w:p w14:paraId="362D65DA">
            <w:pPr>
              <w:pStyle w:val="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Объем финансового обеспечения программы составит </w:t>
            </w:r>
          </w:p>
          <w:p w14:paraId="49DB08B0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highlight w:val="yellow"/>
              </w:rPr>
              <w:t>5988438,2</w:t>
            </w:r>
            <w:r>
              <w:rPr>
                <w:rFonts w:ascii="Times New Roman" w:hAnsi="Times New Roman" w:cs="Times New Roman"/>
                <w:color w:val="auto"/>
              </w:rPr>
              <w:t xml:space="preserve">  тыс.руб.</w:t>
            </w:r>
          </w:p>
          <w:p w14:paraId="36CEDD5C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 том   числе по годам:</w:t>
            </w:r>
          </w:p>
          <w:p w14:paraId="70AFB628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2021 год –  900260.7 тыс. рублей;</w:t>
            </w:r>
          </w:p>
          <w:p w14:paraId="51A97AEE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2022 год -   1066152,4 тыс. рублей;</w:t>
            </w:r>
          </w:p>
          <w:p w14:paraId="31A1E1BF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2023 год -   1177292,3 тыс. рублей;</w:t>
            </w:r>
          </w:p>
          <w:p w14:paraId="7888A73A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2024 год -  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highlight w:val="yellow"/>
                <w:lang w:eastAsia="en-US" w:bidi="en-US"/>
              </w:rPr>
              <w:t>1376944,2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 тыс.. рублей;</w:t>
            </w:r>
          </w:p>
          <w:p w14:paraId="5CF36411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2025 год -   1467788,6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тыс. рублей.</w:t>
            </w:r>
          </w:p>
          <w:p w14:paraId="153EF8F8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Из федерального бюджета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highlight w:val="yellow"/>
                <w:lang w:eastAsia="en-US" w:bidi="en-US"/>
              </w:rPr>
              <w:t>328950,6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 тыс.руб.</w:t>
            </w:r>
          </w:p>
          <w:p w14:paraId="5347DF96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В том числе по годам:</w:t>
            </w:r>
          </w:p>
          <w:p w14:paraId="05A73220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2021 год – 47476,0 тыс.руб.</w:t>
            </w:r>
          </w:p>
          <w:p w14:paraId="3A987F0B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2022 год – 50092,0 тыс.руб.</w:t>
            </w:r>
          </w:p>
          <w:p w14:paraId="2CCBCD99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2023 год - 45580,7 тыс.руб.</w:t>
            </w:r>
          </w:p>
          <w:p w14:paraId="1DC8DB9A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2024 год –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highlight w:val="yellow"/>
                <w:lang w:eastAsia="en-US" w:bidi="en-US"/>
              </w:rPr>
              <w:t>74397,8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 тыс.руб.</w:t>
            </w:r>
          </w:p>
          <w:p w14:paraId="716A7825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2025 год – 111404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highlight w:val="yellow"/>
                <w:lang w:eastAsia="en-US" w:bidi="en-US"/>
              </w:rPr>
              <w:t>,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1 тыс.руб.</w:t>
            </w:r>
          </w:p>
          <w:p w14:paraId="0C54DAF8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Из областного бюджета Новосибирской области </w:t>
            </w:r>
            <w:r>
              <w:rPr>
                <w:rFonts w:ascii="Times New Roman" w:hAnsi="Times New Roman" w:cs="Times New Roman"/>
                <w:color w:val="auto"/>
                <w:highlight w:val="yellow"/>
              </w:rPr>
              <w:t>4239005,7</w:t>
            </w:r>
            <w:r>
              <w:rPr>
                <w:rFonts w:ascii="Times New Roman" w:hAnsi="Times New Roman" w:cs="Times New Roman"/>
                <w:color w:val="auto"/>
              </w:rPr>
              <w:t xml:space="preserve"> тыс.руб.</w:t>
            </w:r>
          </w:p>
          <w:p w14:paraId="25CDBAA3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В том   числе по годам:</w:t>
            </w:r>
          </w:p>
          <w:p w14:paraId="57C829C4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2021 год –  470671.9 тыс. рублей;</w:t>
            </w:r>
          </w:p>
          <w:p w14:paraId="302A2673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2022 год -   796396,1 тыс. рублей;</w:t>
            </w:r>
          </w:p>
          <w:p w14:paraId="3F801AD9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2023 год -   85979,9тыс. рублей;</w:t>
            </w:r>
          </w:p>
          <w:p w14:paraId="58FBE293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2024 год -  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highlight w:val="yellow"/>
                <w:lang w:eastAsia="en-US" w:bidi="en-US"/>
              </w:rPr>
              <w:t>1038262,8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тыс. рублей;</w:t>
            </w:r>
          </w:p>
          <w:p w14:paraId="3C206769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2025 год -   1075695,0 тыс. рублей.</w:t>
            </w:r>
          </w:p>
          <w:p w14:paraId="5D68FF2D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Из районного бюджета </w:t>
            </w:r>
          </w:p>
          <w:p w14:paraId="70CAFC9D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highlight w:val="yellow"/>
              </w:rPr>
              <w:t>1316619,8</w:t>
            </w:r>
            <w:r>
              <w:rPr>
                <w:rFonts w:ascii="Times New Roman" w:hAnsi="Times New Roman" w:cs="Times New Roman"/>
                <w:color w:val="auto"/>
              </w:rPr>
              <w:t xml:space="preserve"> тыс. рублей</w:t>
            </w:r>
          </w:p>
          <w:p w14:paraId="04FF500C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 том   числе по годам:</w:t>
            </w:r>
          </w:p>
          <w:p w14:paraId="1B88DD4A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2021 год –  359005.1 тыс. рублей;</w:t>
            </w:r>
          </w:p>
          <w:p w14:paraId="1104CFFD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2022 год -   203356,6 тыс. рублей; </w:t>
            </w:r>
          </w:p>
          <w:p w14:paraId="42BE8DEC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2023 год – </w:t>
            </w:r>
          </w:p>
          <w:p w14:paraId="3B84AF79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  246894,9 тыс. рублей;</w:t>
            </w:r>
          </w:p>
          <w:p w14:paraId="20FFB3B7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2024 год -  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highlight w:val="yellow"/>
                <w:lang w:eastAsia="en-US" w:bidi="en-US"/>
              </w:rPr>
              <w:t>246334,4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  тыс. рублей;</w:t>
            </w:r>
          </w:p>
          <w:p w14:paraId="772E3935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2025 год -  261028,8 тыс. рублей.</w:t>
            </w:r>
          </w:p>
          <w:p w14:paraId="65228B54">
            <w:pPr>
              <w:pStyle w:val="9"/>
              <w:shd w:val="clear"/>
              <w:ind w:right="-709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Средства внебюджетных источников </w:t>
            </w:r>
            <w:r>
              <w:rPr>
                <w:rFonts w:ascii="Times New Roman" w:hAnsi="Times New Roman" w:cs="Times New Roman"/>
                <w:color w:val="auto"/>
                <w:highlight w:val="yellow"/>
              </w:rPr>
              <w:t>103862,1</w:t>
            </w:r>
            <w:r>
              <w:rPr>
                <w:rFonts w:ascii="Times New Roman" w:hAnsi="Times New Roman" w:cs="Times New Roman"/>
                <w:color w:val="auto"/>
              </w:rPr>
              <w:t xml:space="preserve"> тыс.руб.</w:t>
            </w:r>
          </w:p>
          <w:p w14:paraId="52AE7B0C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2021 год –  23107.7тыс. рублей;</w:t>
            </w:r>
          </w:p>
          <w:p w14:paraId="4960B816">
            <w:pPr>
              <w:pStyle w:val="9"/>
              <w:shd w:val="clear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2022 год -   16307,7 тыс. рублей;</w:t>
            </w:r>
          </w:p>
          <w:p w14:paraId="211C7682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2023 год -   </w:t>
            </w:r>
            <w:r>
              <w:rPr>
                <w:rFonts w:ascii="Times New Roman" w:hAnsi="Times New Roman" w:cs="Times New Roman"/>
                <w:color w:val="auto"/>
              </w:rPr>
              <w:t xml:space="preserve">26836,8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тыс. рублей;</w:t>
            </w:r>
          </w:p>
          <w:p w14:paraId="409CD6E7">
            <w:pPr>
              <w:pStyle w:val="9"/>
              <w:shd w:val="clear"/>
              <w:jc w:val="both"/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 xml:space="preserve">2024 год - 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highlight w:val="yellow"/>
                <w:lang w:eastAsia="en-US" w:bidi="en-US"/>
              </w:rPr>
              <w:t>17949,2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eastAsia="Andale Sans UI" w:cs="Times New Roman"/>
                <w:color w:val="auto"/>
                <w:kern w:val="1"/>
                <w:lang w:eastAsia="en-US" w:bidi="en-US"/>
              </w:rPr>
              <w:t>тыс. рублей;</w:t>
            </w:r>
          </w:p>
          <w:p w14:paraId="7E10E7C2">
            <w:pPr>
              <w:pStyle w:val="9"/>
              <w:shd w:val="clear"/>
              <w:jc w:val="both"/>
            </w:pPr>
            <w:r>
              <w:rPr>
                <w:rFonts w:ascii="Times New Roman" w:hAnsi="Times New Roman" w:cs="Times New Roman"/>
                <w:color w:val="auto"/>
              </w:rPr>
              <w:t>2025 год – 19660,7 тыс. рублей.</w:t>
            </w:r>
          </w:p>
        </w:tc>
      </w:tr>
      <w:tr w14:paraId="07730EA3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577C5D59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10.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1F3672DA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Ожидаемые результаты реализации муниципальной программы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2169C2A3">
            <w:pPr>
              <w:numPr>
                <w:ilvl w:val="0"/>
                <w:numId w:val="3"/>
              </w:numPr>
              <w:tabs>
                <w:tab w:val="left" w:pos="132"/>
              </w:tabs>
              <w:ind w:left="132" w:right="137" w:firstLine="0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Охват детей программами дошкольного образования составит 71%.</w:t>
            </w:r>
          </w:p>
          <w:p w14:paraId="4D6DD043">
            <w:pPr>
              <w:numPr>
                <w:ilvl w:val="0"/>
                <w:numId w:val="3"/>
              </w:numPr>
              <w:tabs>
                <w:tab w:val="left" w:pos="132"/>
              </w:tabs>
              <w:ind w:left="132" w:right="137" w:firstLine="0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Отношение численности детей в возрасте от 3 до 7 лет, получающих дошкольное образование в текущем году, к сумме </w:t>
            </w:r>
            <w:r>
              <w:rPr>
                <w:rFonts w:ascii="Times New Roman" w:hAnsi="Times New Roman" w:eastAsia="Calibri" w:cs="Times New Roman"/>
              </w:rPr>
              <w:t>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образования, составит 100%.</w:t>
            </w:r>
          </w:p>
          <w:p w14:paraId="542AA4D6">
            <w:pPr>
              <w:numPr>
                <w:ilvl w:val="0"/>
                <w:numId w:val="3"/>
              </w:numPr>
              <w:tabs>
                <w:tab w:val="left" w:pos="346"/>
                <w:tab w:val="left" w:pos="2396"/>
                <w:tab w:val="left" w:pos="4138"/>
              </w:tabs>
              <w:ind w:left="346" w:right="137" w:hanging="269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Все выпускники общеобразовательных учреждений, допущенные к ЕГЭ,  получат аттестат о среднем общем образовании.</w:t>
            </w:r>
          </w:p>
          <w:p w14:paraId="24C7B35F">
            <w:pPr>
              <w:numPr>
                <w:ilvl w:val="0"/>
                <w:numId w:val="3"/>
              </w:numPr>
              <w:tabs>
                <w:tab w:val="left" w:pos="293"/>
                <w:tab w:val="left" w:pos="2396"/>
                <w:tab w:val="left" w:pos="4138"/>
              </w:tabs>
              <w:ind w:left="205" w:right="137" w:hanging="128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Удельный вес численности учителей в возрасте до 35 лет в общей численности учителей общеобразовательных учреждений, составит 20%.</w:t>
            </w:r>
          </w:p>
          <w:p w14:paraId="7F39EFF6">
            <w:pPr>
              <w:numPr>
                <w:ilvl w:val="0"/>
                <w:numId w:val="3"/>
              </w:numPr>
              <w:tabs>
                <w:tab w:val="left" w:pos="293"/>
                <w:tab w:val="left" w:pos="2396"/>
                <w:tab w:val="left" w:pos="4138"/>
              </w:tabs>
              <w:ind w:left="205" w:right="137" w:hanging="128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Удельный вес численности руководителей образовательных организаций, прошедших в течение последних трех лет повышение квалификации или профессиональную переподготовку, в общей численности руководителей  образовательных организаций, составит 100%.</w:t>
            </w:r>
          </w:p>
          <w:p w14:paraId="626E5935">
            <w:pPr>
              <w:numPr>
                <w:ilvl w:val="0"/>
                <w:numId w:val="3"/>
              </w:numPr>
              <w:tabs>
                <w:tab w:val="left" w:pos="293"/>
                <w:tab w:val="left" w:pos="2396"/>
                <w:tab w:val="left" w:pos="4138"/>
              </w:tabs>
              <w:ind w:left="205" w:right="137" w:hanging="128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eastAsia="Calibri" w:cs="Times New Roman"/>
              </w:rPr>
              <w:t>Удельный вес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 составит 55%</w:t>
            </w:r>
          </w:p>
          <w:p w14:paraId="7924400F">
            <w:pPr>
              <w:numPr>
                <w:ilvl w:val="0"/>
                <w:numId w:val="3"/>
              </w:numPr>
              <w:tabs>
                <w:tab w:val="left" w:pos="205"/>
              </w:tabs>
              <w:ind w:left="346" w:right="137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Удельный вес численности</w:t>
            </w:r>
            <w:r>
              <w:rPr>
                <w:rFonts w:ascii="Times New Roman" w:hAnsi="Times New Roman"/>
              </w:rPr>
              <w:t xml:space="preserve"> обучающихся  </w:t>
            </w:r>
            <w:r>
              <w:rPr>
                <w:rFonts w:ascii="Times New Roman" w:hAnsi="Times New Roman" w:cs="Times New Roman"/>
              </w:rPr>
              <w:t>общеобразовательных учреждений</w:t>
            </w:r>
            <w:r>
              <w:rPr>
                <w:rFonts w:ascii="Times New Roman" w:hAnsi="Times New Roman"/>
              </w:rPr>
              <w:t>,  которым предоставлена возможность обучаться в  соответствии с основными требованиями (с учетом федеральных образовательных стандартов), в общей численности обучающихся, составит 100%.</w:t>
            </w:r>
          </w:p>
          <w:p w14:paraId="633BA268">
            <w:pPr>
              <w:numPr>
                <w:ilvl w:val="0"/>
                <w:numId w:val="3"/>
              </w:numPr>
              <w:tabs>
                <w:tab w:val="left" w:pos="205"/>
              </w:tabs>
              <w:ind w:left="346" w:right="137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eastAsia="en-US"/>
              </w:rPr>
              <w:t xml:space="preserve"> Доля детей в возрасте 5-18 лет, охваченных  дополнительным образованием, составит к 2025 году не менее 80%.</w:t>
            </w:r>
          </w:p>
          <w:p w14:paraId="4CA1DF40">
            <w:pPr>
              <w:numPr>
                <w:ilvl w:val="0"/>
                <w:numId w:val="3"/>
              </w:numPr>
              <w:tabs>
                <w:tab w:val="left" w:pos="205"/>
              </w:tabs>
              <w:ind w:left="346" w:right="137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Будет обеспечен 100%  охват обучающихся горячим питанием в общеобразовательных организациях  Краснозерского района.</w:t>
            </w:r>
          </w:p>
          <w:p w14:paraId="7082C69C">
            <w:pPr>
              <w:numPr>
                <w:ilvl w:val="0"/>
                <w:numId w:val="3"/>
              </w:numPr>
              <w:tabs>
                <w:tab w:val="left" w:pos="205"/>
              </w:tabs>
              <w:ind w:left="346" w:right="137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Охват детей персонифицированным финансированием составит 25%</w:t>
            </w:r>
          </w:p>
        </w:tc>
      </w:tr>
      <w:tr w14:paraId="78F6F6B5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atLeast"/>
        </w:trPr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3BDE2631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11.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15980099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6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798AAB9A">
            <w:p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extAlignment w:val="baseline"/>
              <w:rPr>
                <w:rFonts w:ascii="Times New Roman" w:hAnsi="Times New Roman" w:eastAsia="Andale Sans UI" w:cs="Tahoma"/>
                <w:kern w:val="1"/>
                <w:lang w:eastAsia="en-US" w:bidi="en-US"/>
              </w:rPr>
            </w:pPr>
            <w:r>
              <w:rPr>
                <w:rFonts w:ascii="Times New Roman" w:hAnsi="Times New Roman" w:eastAsia="Andale Sans UI" w:cs="Tahoma"/>
                <w:kern w:val="1"/>
                <w:lang w:eastAsia="en-US" w:bidi="en-US"/>
              </w:rPr>
              <w:t xml:space="preserve"> http://krasnozerskoe.nso.ru/page/975</w:t>
            </w:r>
          </w:p>
        </w:tc>
      </w:tr>
    </w:tbl>
    <w:p w14:paraId="7D8A4217"/>
    <w:p w14:paraId="55800AF3">
      <w:pPr>
        <w:ind w:firstLine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2.Обоснование необходимости реализации муниципальной программы</w:t>
      </w:r>
    </w:p>
    <w:p w14:paraId="75F4009B">
      <w:pPr>
        <w:ind w:firstLine="360"/>
        <w:jc w:val="center"/>
        <w:rPr>
          <w:rFonts w:ascii="Times New Roman" w:hAnsi="Times New Roman" w:cs="Times New Roman"/>
        </w:rPr>
      </w:pPr>
    </w:p>
    <w:p w14:paraId="7CD7E07E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Основой системы образования Краснозерского района Новосибирской области является сеть муниципальных образовательных организаций, реализующих образовательные программы различного уровня. В целях развития района и удовлетворения потребностей населения в качественном образовании вся совокупность образовательных организаций должна функционировать взаимосвязано. Государственная политика в системе образования Краснозерского района Новосибирской области реализуется на принципах комплексности и последовательности, ориентируясь на достижение общей цели: формирование человеческого капитала, который является основой конкурентоспособности района. </w:t>
      </w:r>
    </w:p>
    <w:p w14:paraId="303F44DF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Образовательная система Краснозерского района Новосибирской области обеспечивает высокую степень доступности образовательных услуг на всех уровнях образования. Показатели, характеризующие эффективность и результативность системы общего образования, в основном, соответствуют аналогичным показателям в районах, имеющих схожий уровень социально-экономического развития.</w:t>
      </w:r>
    </w:p>
    <w:p w14:paraId="7E4AB128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lang w:eastAsia="zh-CN" w:bidi="hi-IN"/>
        </w:rPr>
      </w:pPr>
      <w:r>
        <w:rPr>
          <w:rFonts w:ascii="Times New Roman" w:hAnsi="Times New Roman" w:eastAsia="SimSun" w:cs="Times New Roman"/>
          <w:kern w:val="3"/>
          <w:lang w:eastAsia="zh-CN" w:bidi="hi-IN"/>
        </w:rPr>
        <w:t>Образовательное пространство Краснозерского района представлено совокупностью 53образовательных организаций, реализующих программы разного уровня, и системой дополнительного образования. В детских садах и школах всего 4900 обучающихся. Во всех образовательных учреждениях работают 1297 человек, из них 645 педагогов.</w:t>
      </w:r>
    </w:p>
    <w:p w14:paraId="7BC1AD48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lang w:eastAsia="zh-CN" w:bidi="hi-IN"/>
        </w:rPr>
      </w:pPr>
    </w:p>
    <w:tbl>
      <w:tblPr>
        <w:tblStyle w:val="3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05"/>
        <w:gridCol w:w="2605"/>
        <w:gridCol w:w="2606"/>
        <w:gridCol w:w="2606"/>
      </w:tblGrid>
      <w:tr w14:paraId="363611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  <w:shd w:val="clear" w:color="auto" w:fill="auto"/>
            <w:vAlign w:val="center"/>
          </w:tcPr>
          <w:p w14:paraId="61595895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год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2D866D72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2018г. 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26B334AA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2019г.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44EBE15A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2020г.</w:t>
            </w:r>
          </w:p>
        </w:tc>
      </w:tr>
      <w:tr w14:paraId="5DD3CF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  <w:shd w:val="clear" w:color="auto" w:fill="auto"/>
            <w:vAlign w:val="center"/>
          </w:tcPr>
          <w:p w14:paraId="0F60E6D1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ООУ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1767908F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3682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32F65B48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3652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1730016B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3627 </w:t>
            </w:r>
          </w:p>
        </w:tc>
      </w:tr>
      <w:tr w14:paraId="4481F7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  <w:shd w:val="clear" w:color="auto" w:fill="auto"/>
            <w:vAlign w:val="center"/>
          </w:tcPr>
          <w:p w14:paraId="5908C541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ДОУ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3415A2CD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1411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2A55F4E7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1390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4DC00F2C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1273</w:t>
            </w:r>
          </w:p>
        </w:tc>
      </w:tr>
      <w:tr w14:paraId="277ADE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  <w:shd w:val="clear" w:color="auto" w:fill="auto"/>
            <w:vAlign w:val="center"/>
          </w:tcPr>
          <w:p w14:paraId="04EDD327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ДОД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7174A048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1377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03B8370D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1423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3421AD4A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1494</w:t>
            </w:r>
          </w:p>
        </w:tc>
      </w:tr>
    </w:tbl>
    <w:p w14:paraId="095BC9F0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lang w:eastAsia="zh-CN" w:bidi="hi-IN"/>
        </w:rPr>
      </w:pPr>
    </w:p>
    <w:p w14:paraId="7BE2A676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sz w:val="20"/>
          <w:szCs w:val="20"/>
          <w:lang w:eastAsia="zh-CN" w:bidi="hi-IN"/>
        </w:rPr>
      </w:pPr>
      <w:r>
        <w:rPr>
          <w:rFonts w:ascii="Times New Roman" w:hAnsi="Times New Roman" w:eastAsia="SimSun" w:cs="Times New Roman"/>
          <w:kern w:val="3"/>
          <w:sz w:val="20"/>
          <w:szCs w:val="20"/>
          <w:lang w:eastAsia="zh-CN" w:bidi="hi-IN"/>
        </w:rPr>
        <w:t>ООУ – общеобразовательные учреждения</w:t>
      </w:r>
    </w:p>
    <w:p w14:paraId="1A709710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sz w:val="20"/>
          <w:szCs w:val="20"/>
          <w:lang w:eastAsia="zh-CN" w:bidi="hi-IN"/>
        </w:rPr>
      </w:pPr>
      <w:r>
        <w:rPr>
          <w:rFonts w:ascii="Times New Roman" w:hAnsi="Times New Roman" w:eastAsia="SimSun" w:cs="Times New Roman"/>
          <w:kern w:val="3"/>
          <w:sz w:val="20"/>
          <w:szCs w:val="20"/>
          <w:lang w:eastAsia="zh-CN" w:bidi="hi-IN"/>
        </w:rPr>
        <w:t>ДОУ – дошкольные образовательные учреждения</w:t>
      </w:r>
    </w:p>
    <w:p w14:paraId="1F597934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sz w:val="20"/>
          <w:szCs w:val="20"/>
          <w:lang w:eastAsia="zh-CN" w:bidi="hi-IN"/>
        </w:rPr>
      </w:pPr>
      <w:r>
        <w:rPr>
          <w:rFonts w:ascii="Times New Roman" w:hAnsi="Times New Roman" w:eastAsia="SimSun" w:cs="Times New Roman"/>
          <w:kern w:val="3"/>
          <w:sz w:val="20"/>
          <w:szCs w:val="20"/>
          <w:lang w:eastAsia="zh-CN" w:bidi="hi-IN"/>
        </w:rPr>
        <w:t>ДОД – дополнительные образовательные учреждения</w:t>
      </w:r>
    </w:p>
    <w:p w14:paraId="7681C777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lang w:eastAsia="zh-CN" w:bidi="hi-IN"/>
        </w:rPr>
      </w:pPr>
    </w:p>
    <w:p w14:paraId="597D0907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обеспечения доступности образовательных услуг общего образования решается через развитие сети образовательных организаций, реализующих соответствующие образовательные программы. Обеспечивается высокая степень доступности образовательных услуг на всех ступенях, кроме дошкольного образования.</w:t>
      </w:r>
    </w:p>
    <w:p w14:paraId="2C7D4096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создания равных стартовых условий и обеспечения доступности качественного обучения в начальной школе важна предшкольная подготовка. Целевым показателем является охват детей в возрасте от 3 до 7 лет услугами дошкольного образования. Его значение по   Краснозерскому району составляет 100%.</w:t>
      </w:r>
    </w:p>
    <w:p w14:paraId="0F0318BE">
      <w:pPr>
        <w:ind w:left="20" w:right="20" w:firstLine="56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Объективной характеристикой качества образования является положительная динамика результатов ЕГЭ по обязательным предметам. В целом, </w:t>
      </w:r>
      <w:r>
        <w:rPr>
          <w:rFonts w:ascii="Times New Roman" w:hAnsi="Times New Roman" w:cs="Times New Roman"/>
          <w:bCs/>
        </w:rPr>
        <w:t xml:space="preserve">результаты </w:t>
      </w:r>
      <w:r>
        <w:rPr>
          <w:rFonts w:ascii="Times New Roman" w:hAnsi="Times New Roman" w:cs="Times New Roman"/>
        </w:rPr>
        <w:t xml:space="preserve">государственной итоговой аттестации в регионе по сравнению с прошлым годом, </w:t>
      </w:r>
      <w:r>
        <w:rPr>
          <w:rFonts w:ascii="Times New Roman" w:hAnsi="Times New Roman" w:cs="Times New Roman"/>
          <w:bCs/>
        </w:rPr>
        <w:t>изменились в лучшую сторону.</w:t>
      </w:r>
      <w:r>
        <w:rPr>
          <w:rFonts w:ascii="Times New Roman" w:hAnsi="Times New Roman" w:cs="Times New Roman"/>
        </w:rPr>
        <w:t xml:space="preserve"> Средний балл по району по русскому языку составил 72,1 балл, по математике –  53,4. Средний балл по району повысился по 4 предметам по сравнению с прошлым годом. Все выпускники 9 классов в 2020 году получили аттестаты об основном общем образовании на основании итоговых оценок.</w:t>
      </w:r>
    </w:p>
    <w:p w14:paraId="5C604D62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Перед системой образования стоит задача сокращения разрыва в результатах ЕГЭ за счет улучшения результатов школ, выпускники которых показывают худшие результаты итоговой аттестации.</w:t>
      </w:r>
    </w:p>
    <w:p w14:paraId="18D6AD54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Краснозерском районе Новосибирской области продолжается поэтапное введение ФГОС. В 2020– 2021учебном году по ФГОС</w:t>
      </w:r>
      <w:r>
        <w:rPr>
          <w:rFonts w:ascii="Times New Roman" w:hAnsi="Times New Roman" w:cs="Times New Roman"/>
          <w:bCs/>
        </w:rPr>
        <w:t xml:space="preserve">обучается97% </w:t>
      </w:r>
      <w:r>
        <w:rPr>
          <w:rFonts w:ascii="Times New Roman" w:hAnsi="Times New Roman" w:cs="Times New Roman"/>
        </w:rPr>
        <w:t>школьников района.</w:t>
      </w:r>
    </w:p>
    <w:p w14:paraId="7508338A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Требуется также в период реализации настоящей программы обеспечить наполнение новым содержанием образовательного процесса, в связи с принятием ФГОС и решение задачи по созданию и реализации вариативных форм поддержки раннего развития детей дошкольного возраста.</w:t>
      </w:r>
    </w:p>
    <w:p w14:paraId="11D8861A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данным региональной базы учета детей с ОВЗ в образовательных учреждениях Краснозерского района обучается 356 детей с ОВЗ, из них – 60 детей со статусом «ребенок-инвалид».</w:t>
      </w:r>
    </w:p>
    <w:p w14:paraId="7A04C897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Потребности в образовании детей с ОВЗ, отклонениями в развитии, обеспечиваются посредством инклюзивного образования. Активно реализуется практика инклюзивного образования в пространстве обычной школы. Получила развитие система психолого-педагогических консультаций и сопровождения. Распространение практики инклюзивного образования детей с ОВЗ предполагает усиление мер по созданию в школах «безбарьерной среды», обеспечение не только образовательного процесса специальным оборудованием и учебным материалом, но и обеспечения условий психолого-педагогической поддержки программ инклюзивного образования.</w:t>
      </w:r>
    </w:p>
    <w:p w14:paraId="1F988671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настоящее время в системе дополнительного образования детей Краснозерского района Новосибирской области работает 3 организации дополнительного образования, из них ДДТ и ДЮСШ в ведомственном подчинении управления образования администрации Краснозерского района, в которых занимаются 51,1%детей в возрасте от 6 до 18 лет. В целом охват обучающихся всеми формами дополнительного образования составляет 63,4 %.</w:t>
      </w:r>
    </w:p>
    <w:p w14:paraId="2904FA4F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целях приведения в соответствие современным требованиям базовой инфраструктуры системы общего образования в последние два года продолжается финансирование капитальных и текущих ремонтов зданий образовательных учреждений. Благодаря этому:</w:t>
      </w:r>
    </w:p>
    <w:p w14:paraId="68FE1EFF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 школ имеют современное остекление;</w:t>
      </w:r>
    </w:p>
    <w:p w14:paraId="30251543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произведены ремонт и реконструкция кровель в 9 школах и 8 детских садах,  </w:t>
      </w:r>
    </w:p>
    <w:p w14:paraId="783786DF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комплексно отремонтированы 3 спортивных зала с покрытием, 3 зала без покрытия.</w:t>
      </w:r>
    </w:p>
    <w:p w14:paraId="547A1BA9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Полностью решены следующие задачи:</w:t>
      </w:r>
    </w:p>
    <w:p w14:paraId="5AD8EA04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оборудованы теплые санузлы во всех школах,</w:t>
      </w:r>
    </w:p>
    <w:p w14:paraId="4123D8E0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оборудованы системами видеонаблюдения все ОУ,</w:t>
      </w:r>
    </w:p>
    <w:p w14:paraId="2D71606E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обеспечено соответствие стандарту безопасности и комфорта всех автобусов, занятых ежедневным подвозом учащихся  </w:t>
      </w:r>
    </w:p>
    <w:p w14:paraId="68F79CDF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обеспечено открытие новых маршрутов подвоза учащихся.</w:t>
      </w:r>
    </w:p>
    <w:p w14:paraId="3456CC33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Материальная база школ и учреждений дополнительного образования постепенно укрепляется, приводится в соответствие с современными потребностями. Система организационно-методического обеспечения в области научно-технического творчества нуждается в развитии. Решения этих проблем будут определять характер и содержание программных мероприятий.</w:t>
      </w:r>
    </w:p>
    <w:p w14:paraId="1100633C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2018 года на базе Дома детского творчества функционирует муниципальный ресурсный центр, осуществляющий поддержку по реализации дополнительных общеобразовательных программ в районе, оказывает помощь по наполнению муниципального сегмента информационной системы Навигатора дополнительного образования детей. В 2019 году центр начал оформлять в информационной системе сертификаты учета ДОД. На платформе Навигатора в данный период размещено 150 программ разного уровня, реестр детей составляет 3200 человек, из них около 2 тысяч оформили сертификат учета ДОД.</w:t>
      </w:r>
    </w:p>
    <w:p w14:paraId="0AA0769A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сентябре 2020 года открыты 2 Центра образования цифрового и гуманитарного профилей «Точка роста» в МБОУ Краснозерском лицее № 1 и МБОУ Краснозерском лицее № 2 имени Ф.И. Анисичкина. К 2022 году в районе планируется открыть ещё 13 Центров образования цифрового и гуманитарного профилей «Точка роста».</w:t>
      </w:r>
    </w:p>
    <w:p w14:paraId="753362C2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современных условиях по-новому определены задачи обеспечения безопасности и создания здоровых условий нахождения детей в школах. Требуется повышение уровня энергоэффективности зданий.</w:t>
      </w:r>
    </w:p>
    <w:p w14:paraId="622EE5FE">
      <w:pPr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Требуют дальнейшего приведения в соответствие современным требованиям действующие в школах спортивные площадки.</w:t>
      </w:r>
    </w:p>
    <w:p w14:paraId="085B1692">
      <w:pPr>
        <w:tabs>
          <w:tab w:val="left" w:pos="1014"/>
        </w:tabs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Современная школа находится на этапе масштабного технологического переоснащения, прежде всего в силу необходимости широкого внедрения информационных технологий в образовательный процесс, насыщение современным учебным оборудованием в соответствии с требованиями новых ФГОС, спортивным оборудованием и инвентарем. Этот процесс существенно активизировался в рамках реализации комплекса мер модернизации  региональной системы общего образования, 10 школ получили новое учебно-лабораторное оборудование, 2 образовательных организации обновили оснащение школьных мастерских, в 8 школ поставлено спортивное оборудование и инвентарь.</w:t>
      </w:r>
    </w:p>
    <w:p w14:paraId="2CD33FC6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Большая работа проведена по продвижению в образовательный процесс информационных технологий: 100% школ, в которых есть хотя бы один мультимедийный проектор и хотя бы одна интерактивная доска. В общеобразовательных организациях проводились работы по повышению скорости доступа к сети Интернет. В результате в 20 школах скорость выше 2048 Кбит/с., в 8 школах – 2048 Кбит/с.</w:t>
      </w:r>
    </w:p>
    <w:p w14:paraId="5418F9B4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Одним из наиболее эффективных средств мотивации к профессиональному росту и высоким достижениям в образовательных результатах является вовлечение коллективов школ в реализацию масштабных региональных инновационных проектов по формированию и распространению лучшей практики по важнейшим направлениям, связанным с обеспечением высокого качества работы образовательных организаций. Нуждается в мерах дальнейшей поддержки инновационная инициатива, возникающая на уровне образовательных организаций.</w:t>
      </w:r>
    </w:p>
    <w:p w14:paraId="4AE18E2C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Достижение необходимого уровня оснащения всех образовательных организаций, в целях создания равных условий организации образовательного процесса независимо от места расположения, может быть обеспечено только при продолжении программных мероприятий в пределах горизонта планирования, предусмотренного настоящей муниципальной программой.</w:t>
      </w:r>
    </w:p>
    <w:p w14:paraId="5BF5C2BD">
      <w:pPr>
        <w:autoSpaceDN w:val="0"/>
        <w:ind w:firstLine="735"/>
        <w:jc w:val="both"/>
        <w:rPr>
          <w:rFonts w:ascii="Times New Roman" w:hAnsi="Times New Roman" w:eastAsia="SimSun" w:cs="Times New Roman"/>
          <w:kern w:val="3"/>
          <w:lang w:eastAsia="zh-CN" w:bidi="hi-IN"/>
        </w:rPr>
      </w:pPr>
      <w:r>
        <w:rPr>
          <w:rFonts w:ascii="Times New Roman" w:hAnsi="Times New Roman" w:eastAsia="SimSun" w:cs="Times New Roman"/>
          <w:kern w:val="3"/>
          <w:lang w:eastAsia="zh-CN" w:bidi="hi-IN"/>
        </w:rPr>
        <w:t>В целом, система  общего и дополнительного образования Краснозерского района Новосибирской области способна решать стоящие перед ней задачи.</w:t>
      </w:r>
    </w:p>
    <w:p w14:paraId="083ED82C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2FEB559E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50A1CF7F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3AEEC71E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2742A5CF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39696672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6D66A768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776B3CEB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679E5FAF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53FE8028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093D42B0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63402487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36E65D6F">
      <w:pPr>
        <w:pStyle w:val="9"/>
        <w:tabs>
          <w:tab w:val="left" w:pos="7513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6A6EE87A">
      <w:pPr>
        <w:rPr>
          <w:rFonts w:ascii="Times New Roman" w:hAnsi="Times New Roman" w:cs="Times New Roman"/>
          <w:sz w:val="28"/>
          <w:szCs w:val="28"/>
          <w:lang w:eastAsia="zh-CN"/>
        </w:rPr>
        <w:sectPr>
          <w:footnotePr>
            <w:pos w:val="beneathText"/>
          </w:footnotePr>
          <w:pgSz w:w="12240" w:h="15840"/>
          <w:pgMar w:top="851" w:right="616" w:bottom="709" w:left="1418" w:header="720" w:footer="720" w:gutter="0"/>
          <w:cols w:space="720" w:num="1"/>
          <w:docGrid w:linePitch="360" w:charSpace="0"/>
        </w:sectPr>
      </w:pPr>
    </w:p>
    <w:p w14:paraId="515E552D">
      <w:pPr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hAnsi="Times New Roman" w:cs="Times New Roman"/>
          <w:b/>
          <w:sz w:val="28"/>
          <w:szCs w:val="28"/>
          <w:lang w:eastAsia="zh-CN"/>
        </w:rPr>
        <w:t>3. ЦЕЛИ, ЗАДАЧИ И ЦЕЛЕВЫЕ ИНДИКАТОРЫ</w:t>
      </w:r>
    </w:p>
    <w:p w14:paraId="62321B9C">
      <w:pPr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муниципальной программы Краснозерского района Новосибирской области «Развитие  образования в Краснозерском районе Новосибирской области на 2021-2025 годы»</w:t>
      </w:r>
    </w:p>
    <w:p w14:paraId="0390B48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eastAsia="zh-CN"/>
        </w:rPr>
      </w:pPr>
    </w:p>
    <w:tbl>
      <w:tblPr>
        <w:tblStyle w:val="3"/>
        <w:tblW w:w="14879" w:type="dxa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5" w:type="dxa"/>
          <w:bottom w:w="0" w:type="dxa"/>
          <w:right w:w="75" w:type="dxa"/>
        </w:tblCellMar>
      </w:tblPr>
      <w:tblGrid>
        <w:gridCol w:w="2253"/>
        <w:gridCol w:w="3837"/>
        <w:gridCol w:w="1134"/>
        <w:gridCol w:w="993"/>
        <w:gridCol w:w="992"/>
        <w:gridCol w:w="850"/>
        <w:gridCol w:w="1276"/>
        <w:gridCol w:w="1134"/>
        <w:gridCol w:w="992"/>
        <w:gridCol w:w="1418"/>
      </w:tblGrid>
      <w:tr w14:paraId="6BFB5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restart"/>
          </w:tcPr>
          <w:p w14:paraId="57DA2365">
            <w:pPr>
              <w:autoSpaceDE w:val="0"/>
              <w:autoSpaceDN w:val="0"/>
              <w:adjustRightInd w:val="0"/>
              <w:ind w:left="-10" w:firstLine="1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Цель/задачи, требующие решения</w:t>
            </w:r>
          </w:p>
          <w:p w14:paraId="122EA9CD">
            <w:pPr>
              <w:autoSpaceDE w:val="0"/>
              <w:autoSpaceDN w:val="0"/>
              <w:adjustRightInd w:val="0"/>
              <w:ind w:left="-10" w:firstLine="1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для достижения цели</w:t>
            </w:r>
          </w:p>
        </w:tc>
        <w:tc>
          <w:tcPr>
            <w:tcW w:w="3837" w:type="dxa"/>
            <w:vMerge w:val="restart"/>
          </w:tcPr>
          <w:p w14:paraId="5A92B0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Наименование целевого индикатора</w:t>
            </w:r>
          </w:p>
        </w:tc>
        <w:tc>
          <w:tcPr>
            <w:tcW w:w="1134" w:type="dxa"/>
            <w:vMerge w:val="restart"/>
          </w:tcPr>
          <w:p w14:paraId="78DC32E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Единица измерения</w:t>
            </w:r>
          </w:p>
        </w:tc>
        <w:tc>
          <w:tcPr>
            <w:tcW w:w="6237" w:type="dxa"/>
            <w:gridSpan w:val="6"/>
          </w:tcPr>
          <w:p w14:paraId="719D07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Значение целевого индикатора</w:t>
            </w:r>
          </w:p>
        </w:tc>
        <w:tc>
          <w:tcPr>
            <w:tcW w:w="1418" w:type="dxa"/>
            <w:vMerge w:val="restart"/>
          </w:tcPr>
          <w:p w14:paraId="4A95AC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Примечание</w:t>
            </w:r>
          </w:p>
        </w:tc>
      </w:tr>
      <w:tr w14:paraId="6285E1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17C3B5A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  <w:vMerge w:val="continue"/>
          </w:tcPr>
          <w:p w14:paraId="38A03B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vMerge w:val="continue"/>
          </w:tcPr>
          <w:p w14:paraId="235E97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6237" w:type="dxa"/>
            <w:gridSpan w:val="6"/>
          </w:tcPr>
          <w:p w14:paraId="49356A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в том числе по годам</w:t>
            </w:r>
          </w:p>
        </w:tc>
        <w:tc>
          <w:tcPr>
            <w:tcW w:w="1418" w:type="dxa"/>
            <w:vMerge w:val="continue"/>
          </w:tcPr>
          <w:p w14:paraId="0A4A0D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1CF939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2325C91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  <w:vMerge w:val="continue"/>
          </w:tcPr>
          <w:p w14:paraId="589A12D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vMerge w:val="continue"/>
          </w:tcPr>
          <w:p w14:paraId="7E91C1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</w:tcPr>
          <w:p w14:paraId="78F1F0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2020</w:t>
            </w:r>
          </w:p>
        </w:tc>
        <w:tc>
          <w:tcPr>
            <w:tcW w:w="992" w:type="dxa"/>
          </w:tcPr>
          <w:p w14:paraId="31728C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2021</w:t>
            </w:r>
          </w:p>
        </w:tc>
        <w:tc>
          <w:tcPr>
            <w:tcW w:w="850" w:type="dxa"/>
          </w:tcPr>
          <w:p w14:paraId="5AF965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2022</w:t>
            </w:r>
          </w:p>
        </w:tc>
        <w:tc>
          <w:tcPr>
            <w:tcW w:w="1276" w:type="dxa"/>
          </w:tcPr>
          <w:p w14:paraId="231BFF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2023</w:t>
            </w:r>
          </w:p>
        </w:tc>
        <w:tc>
          <w:tcPr>
            <w:tcW w:w="1134" w:type="dxa"/>
          </w:tcPr>
          <w:p w14:paraId="2DAE3F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2024</w:t>
            </w:r>
          </w:p>
        </w:tc>
        <w:tc>
          <w:tcPr>
            <w:tcW w:w="992" w:type="dxa"/>
          </w:tcPr>
          <w:p w14:paraId="6E71DB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2025</w:t>
            </w:r>
          </w:p>
        </w:tc>
        <w:tc>
          <w:tcPr>
            <w:tcW w:w="1418" w:type="dxa"/>
            <w:vMerge w:val="continue"/>
          </w:tcPr>
          <w:p w14:paraId="5592A58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3F8F4C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12469" w:type="dxa"/>
            <w:gridSpan w:val="8"/>
          </w:tcPr>
          <w:p w14:paraId="28B6CF41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Цель:  обеспечение  соответствия высокого качества образования меняющимся запросам населения и перспективным задачам социально-экономического развития Краснозерского района.</w:t>
            </w:r>
          </w:p>
        </w:tc>
        <w:tc>
          <w:tcPr>
            <w:tcW w:w="992" w:type="dxa"/>
          </w:tcPr>
          <w:p w14:paraId="5286CDDB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418" w:type="dxa"/>
          </w:tcPr>
          <w:p w14:paraId="431E2F68">
            <w:pPr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7FE644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restart"/>
          </w:tcPr>
          <w:p w14:paraId="6FE3471E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Задача 1: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zh-CN"/>
              </w:rPr>
              <w:t xml:space="preserve"> Создание </w:t>
            </w:r>
            <w:r>
              <w:rPr>
                <w:rFonts w:ascii="Times New Roman" w:hAnsi="Times New Roman" w:eastAsia="Calibri" w:cs="Times New Roman"/>
                <w:lang w:eastAsia="zh-CN"/>
              </w:rPr>
              <w:t xml:space="preserve">   в  системе  дошкольного,  общего  и  дополнительного образования детей условий для получения качественного образования, включая  развитие  и  модернизацию  базовой  инфраструктуры  и технологической образовательной среды образовательных организаций.</w:t>
            </w:r>
          </w:p>
        </w:tc>
        <w:tc>
          <w:tcPr>
            <w:tcW w:w="3837" w:type="dxa"/>
          </w:tcPr>
          <w:p w14:paraId="5AFD250D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 удельный вес численности обучающихся  ООУ, обучающихся по ФГОС (в том числе при сетевой форме организации учебного процесса)</w:t>
            </w:r>
          </w:p>
        </w:tc>
        <w:tc>
          <w:tcPr>
            <w:tcW w:w="1134" w:type="dxa"/>
          </w:tcPr>
          <w:p w14:paraId="2FCC35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3BDDBB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97</w:t>
            </w:r>
          </w:p>
        </w:tc>
        <w:tc>
          <w:tcPr>
            <w:tcW w:w="992" w:type="dxa"/>
          </w:tcPr>
          <w:p w14:paraId="344C3F1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850" w:type="dxa"/>
          </w:tcPr>
          <w:p w14:paraId="34A834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276" w:type="dxa"/>
          </w:tcPr>
          <w:p w14:paraId="2535F29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</w:tcPr>
          <w:p w14:paraId="07B4D1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2" w:type="dxa"/>
          </w:tcPr>
          <w:p w14:paraId="517A835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418" w:type="dxa"/>
          </w:tcPr>
          <w:p w14:paraId="51621B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ГП</w:t>
            </w:r>
          </w:p>
        </w:tc>
      </w:tr>
      <w:tr w14:paraId="590F4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6AA7EE4A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25699464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i/>
                <w:iCs/>
                <w:lang w:eastAsia="zh-CN"/>
              </w:rPr>
              <w:t> </w:t>
            </w:r>
            <w:r>
              <w:rPr>
                <w:rFonts w:ascii="Times New Roman" w:hAnsi="Times New Roman" w:cs="Times New Roman"/>
                <w:iCs/>
                <w:lang w:eastAsia="zh-CN"/>
              </w:rPr>
              <w:t>доля  ООУ, в которых создана универсальная без барьерная среда для инклюзивного образования детей-инвалидов, в общем количестве  ООУ</w:t>
            </w:r>
          </w:p>
        </w:tc>
        <w:tc>
          <w:tcPr>
            <w:tcW w:w="1134" w:type="dxa"/>
          </w:tcPr>
          <w:p w14:paraId="2C5811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348673E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28,6</w:t>
            </w:r>
          </w:p>
        </w:tc>
        <w:tc>
          <w:tcPr>
            <w:tcW w:w="992" w:type="dxa"/>
          </w:tcPr>
          <w:p w14:paraId="499E047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32,1</w:t>
            </w:r>
          </w:p>
        </w:tc>
        <w:tc>
          <w:tcPr>
            <w:tcW w:w="850" w:type="dxa"/>
          </w:tcPr>
          <w:p w14:paraId="2ECD35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35,7</w:t>
            </w:r>
          </w:p>
        </w:tc>
        <w:tc>
          <w:tcPr>
            <w:tcW w:w="1276" w:type="dxa"/>
          </w:tcPr>
          <w:p w14:paraId="029D52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39,3</w:t>
            </w:r>
          </w:p>
        </w:tc>
        <w:tc>
          <w:tcPr>
            <w:tcW w:w="1134" w:type="dxa"/>
          </w:tcPr>
          <w:p w14:paraId="48F950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42,8</w:t>
            </w:r>
          </w:p>
        </w:tc>
        <w:tc>
          <w:tcPr>
            <w:tcW w:w="992" w:type="dxa"/>
          </w:tcPr>
          <w:p w14:paraId="690C94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50,0</w:t>
            </w:r>
          </w:p>
        </w:tc>
        <w:tc>
          <w:tcPr>
            <w:tcW w:w="1418" w:type="dxa"/>
          </w:tcPr>
          <w:p w14:paraId="4043EC9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 ДК</w:t>
            </w:r>
          </w:p>
        </w:tc>
      </w:tr>
      <w:tr w14:paraId="6437BE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572E9054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0055AB38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 доля  ДОУ, в которых создана универсальная без барьерная среда для инклюзивного образования детей-инвалидов, в общем количестве  ДОУ</w:t>
            </w:r>
          </w:p>
        </w:tc>
        <w:tc>
          <w:tcPr>
            <w:tcW w:w="1134" w:type="dxa"/>
          </w:tcPr>
          <w:p w14:paraId="012BC8B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процент</w:t>
            </w:r>
          </w:p>
        </w:tc>
        <w:tc>
          <w:tcPr>
            <w:tcW w:w="993" w:type="dxa"/>
          </w:tcPr>
          <w:p w14:paraId="6CE5AC1F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0</w:t>
            </w:r>
          </w:p>
        </w:tc>
        <w:tc>
          <w:tcPr>
            <w:tcW w:w="992" w:type="dxa"/>
          </w:tcPr>
          <w:p w14:paraId="328316A1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5</w:t>
            </w:r>
          </w:p>
        </w:tc>
        <w:tc>
          <w:tcPr>
            <w:tcW w:w="850" w:type="dxa"/>
          </w:tcPr>
          <w:p w14:paraId="5F62E59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9,5</w:t>
            </w:r>
          </w:p>
        </w:tc>
        <w:tc>
          <w:tcPr>
            <w:tcW w:w="1276" w:type="dxa"/>
          </w:tcPr>
          <w:p w14:paraId="00C9C3F0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14,3</w:t>
            </w:r>
          </w:p>
        </w:tc>
        <w:tc>
          <w:tcPr>
            <w:tcW w:w="1134" w:type="dxa"/>
          </w:tcPr>
          <w:p w14:paraId="1003FFA9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19</w:t>
            </w:r>
          </w:p>
        </w:tc>
        <w:tc>
          <w:tcPr>
            <w:tcW w:w="992" w:type="dxa"/>
          </w:tcPr>
          <w:p w14:paraId="3446B4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23,8</w:t>
            </w:r>
          </w:p>
        </w:tc>
        <w:tc>
          <w:tcPr>
            <w:tcW w:w="1418" w:type="dxa"/>
          </w:tcPr>
          <w:p w14:paraId="6D4D75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ДК</w:t>
            </w:r>
          </w:p>
        </w:tc>
      </w:tr>
      <w:tr w14:paraId="79C8CB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6BA89B7C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7B506C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доля ООУ, в которых заменены все оконные блоки на пластиковые</w:t>
            </w:r>
          </w:p>
        </w:tc>
        <w:tc>
          <w:tcPr>
            <w:tcW w:w="1134" w:type="dxa"/>
          </w:tcPr>
          <w:p w14:paraId="0E7551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28BAE3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53,6</w:t>
            </w:r>
          </w:p>
        </w:tc>
        <w:tc>
          <w:tcPr>
            <w:tcW w:w="992" w:type="dxa"/>
          </w:tcPr>
          <w:p w14:paraId="55E37E5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57,1</w:t>
            </w:r>
          </w:p>
        </w:tc>
        <w:tc>
          <w:tcPr>
            <w:tcW w:w="850" w:type="dxa"/>
          </w:tcPr>
          <w:p w14:paraId="1A5208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64,3</w:t>
            </w:r>
          </w:p>
        </w:tc>
        <w:tc>
          <w:tcPr>
            <w:tcW w:w="1276" w:type="dxa"/>
          </w:tcPr>
          <w:p w14:paraId="1E3393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67,8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14:paraId="63D76BC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71,4</w:t>
            </w:r>
          </w:p>
        </w:tc>
        <w:tc>
          <w:tcPr>
            <w:tcW w:w="992" w:type="dxa"/>
          </w:tcPr>
          <w:p w14:paraId="735C96E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78,6</w:t>
            </w:r>
          </w:p>
        </w:tc>
        <w:tc>
          <w:tcPr>
            <w:tcW w:w="1418" w:type="dxa"/>
          </w:tcPr>
          <w:p w14:paraId="78E5A3E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153DF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330857E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574353A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 доля ОО, в которых проведен капитальный ремонт  кровли</w:t>
            </w:r>
          </w:p>
        </w:tc>
        <w:tc>
          <w:tcPr>
            <w:tcW w:w="1134" w:type="dxa"/>
          </w:tcPr>
          <w:p w14:paraId="5BDB4B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58C836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32,1</w:t>
            </w:r>
          </w:p>
        </w:tc>
        <w:tc>
          <w:tcPr>
            <w:tcW w:w="992" w:type="dxa"/>
          </w:tcPr>
          <w:p w14:paraId="46C06F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35,3</w:t>
            </w:r>
          </w:p>
        </w:tc>
        <w:tc>
          <w:tcPr>
            <w:tcW w:w="850" w:type="dxa"/>
          </w:tcPr>
          <w:p w14:paraId="50F0CA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37,3</w:t>
            </w:r>
          </w:p>
        </w:tc>
        <w:tc>
          <w:tcPr>
            <w:tcW w:w="1276" w:type="dxa"/>
          </w:tcPr>
          <w:p w14:paraId="7EA227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39,2</w:t>
            </w:r>
          </w:p>
        </w:tc>
        <w:tc>
          <w:tcPr>
            <w:tcW w:w="1134" w:type="dxa"/>
          </w:tcPr>
          <w:p w14:paraId="017D0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41,2</w:t>
            </w:r>
          </w:p>
        </w:tc>
        <w:tc>
          <w:tcPr>
            <w:tcW w:w="992" w:type="dxa"/>
          </w:tcPr>
          <w:p w14:paraId="36D217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43,1</w:t>
            </w:r>
          </w:p>
        </w:tc>
        <w:tc>
          <w:tcPr>
            <w:tcW w:w="1418" w:type="dxa"/>
          </w:tcPr>
          <w:p w14:paraId="4B79FD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20E7C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74" w:hRule="atLeast"/>
          <w:tblCellSpacing w:w="0" w:type="dxa"/>
          <w:jc w:val="center"/>
        </w:trPr>
        <w:tc>
          <w:tcPr>
            <w:tcW w:w="2253" w:type="dxa"/>
            <w:vMerge w:val="restart"/>
          </w:tcPr>
          <w:p w14:paraId="40187C1E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Задача 2: </w:t>
            </w:r>
            <w:r>
              <w:rPr>
                <w:rFonts w:ascii="Times New Roman" w:hAnsi="Times New Roman" w:eastAsia="Calibri" w:cs="Times New Roman"/>
                <w:lang w:eastAsia="zh-CN"/>
              </w:rPr>
              <w:t>Обеспечение  равных  возможностей  для  детей  в  получении качественного образования и позитивной социализации независимо от их  места  жительства,  состояния  здоровья  и  социально-экономического положения их семей.</w:t>
            </w:r>
          </w:p>
        </w:tc>
        <w:tc>
          <w:tcPr>
            <w:tcW w:w="3837" w:type="dxa"/>
          </w:tcPr>
          <w:p w14:paraId="1CFA79F6">
            <w:pPr>
              <w:autoSpaceDE w:val="0"/>
              <w:autoSpaceDN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Доля  детей от 3-х до 7-ми лет , получающих дошкольную образовательную услугу,  от общей численности детей от 3-х до 7-ми лет</w:t>
            </w:r>
          </w:p>
        </w:tc>
        <w:tc>
          <w:tcPr>
            <w:tcW w:w="1134" w:type="dxa"/>
          </w:tcPr>
          <w:p w14:paraId="58E9F9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процент</w:t>
            </w:r>
          </w:p>
        </w:tc>
        <w:tc>
          <w:tcPr>
            <w:tcW w:w="993" w:type="dxa"/>
          </w:tcPr>
          <w:p w14:paraId="2FE5BA1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62</w:t>
            </w:r>
          </w:p>
        </w:tc>
        <w:tc>
          <w:tcPr>
            <w:tcW w:w="992" w:type="dxa"/>
          </w:tcPr>
          <w:p w14:paraId="5D6A8A1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63</w:t>
            </w:r>
          </w:p>
        </w:tc>
        <w:tc>
          <w:tcPr>
            <w:tcW w:w="850" w:type="dxa"/>
          </w:tcPr>
          <w:p w14:paraId="4431F90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64</w:t>
            </w:r>
          </w:p>
        </w:tc>
        <w:tc>
          <w:tcPr>
            <w:tcW w:w="1276" w:type="dxa"/>
          </w:tcPr>
          <w:p w14:paraId="3DB19A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65</w:t>
            </w:r>
          </w:p>
        </w:tc>
        <w:tc>
          <w:tcPr>
            <w:tcW w:w="1134" w:type="dxa"/>
          </w:tcPr>
          <w:p w14:paraId="75ADA8DE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66</w:t>
            </w:r>
          </w:p>
        </w:tc>
        <w:tc>
          <w:tcPr>
            <w:tcW w:w="992" w:type="dxa"/>
          </w:tcPr>
          <w:p w14:paraId="3722D24C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67</w:t>
            </w:r>
          </w:p>
        </w:tc>
        <w:tc>
          <w:tcPr>
            <w:tcW w:w="1418" w:type="dxa"/>
          </w:tcPr>
          <w:p w14:paraId="3AFB8F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7C960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35088C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0A2021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 охват детей программами дошкольного образования.</w:t>
            </w:r>
          </w:p>
        </w:tc>
        <w:tc>
          <w:tcPr>
            <w:tcW w:w="1134" w:type="dxa"/>
          </w:tcPr>
          <w:p w14:paraId="4B1FE91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процент</w:t>
            </w:r>
          </w:p>
        </w:tc>
        <w:tc>
          <w:tcPr>
            <w:tcW w:w="993" w:type="dxa"/>
          </w:tcPr>
          <w:p w14:paraId="6BB46F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69,3</w:t>
            </w:r>
          </w:p>
        </w:tc>
        <w:tc>
          <w:tcPr>
            <w:tcW w:w="992" w:type="dxa"/>
          </w:tcPr>
          <w:p w14:paraId="1737271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69,5</w:t>
            </w:r>
          </w:p>
        </w:tc>
        <w:tc>
          <w:tcPr>
            <w:tcW w:w="850" w:type="dxa"/>
          </w:tcPr>
          <w:p w14:paraId="68B6A8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69,7</w:t>
            </w:r>
          </w:p>
        </w:tc>
        <w:tc>
          <w:tcPr>
            <w:tcW w:w="1276" w:type="dxa"/>
          </w:tcPr>
          <w:p w14:paraId="584876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69,9</w:t>
            </w:r>
          </w:p>
        </w:tc>
        <w:tc>
          <w:tcPr>
            <w:tcW w:w="1134" w:type="dxa"/>
          </w:tcPr>
          <w:p w14:paraId="4AE9B0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70,4</w:t>
            </w:r>
          </w:p>
        </w:tc>
        <w:tc>
          <w:tcPr>
            <w:tcW w:w="992" w:type="dxa"/>
          </w:tcPr>
          <w:p w14:paraId="00976D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71</w:t>
            </w:r>
          </w:p>
        </w:tc>
        <w:tc>
          <w:tcPr>
            <w:tcW w:w="1418" w:type="dxa"/>
          </w:tcPr>
          <w:p w14:paraId="6DDCB1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ГП, ДК</w:t>
            </w:r>
          </w:p>
        </w:tc>
      </w:tr>
      <w:tr w14:paraId="5180E7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103041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493C3E40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 доля детей-инвалидов в возрасте от 5 до 18 лет, получающих дополнительное образование, в общей численности детей-инвалидов данного возраста</w:t>
            </w:r>
          </w:p>
        </w:tc>
        <w:tc>
          <w:tcPr>
            <w:tcW w:w="1134" w:type="dxa"/>
          </w:tcPr>
          <w:p w14:paraId="2B0EFC6F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процент</w:t>
            </w:r>
          </w:p>
        </w:tc>
        <w:tc>
          <w:tcPr>
            <w:tcW w:w="993" w:type="dxa"/>
          </w:tcPr>
          <w:p w14:paraId="70EF36F9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30,8</w:t>
            </w:r>
          </w:p>
        </w:tc>
        <w:tc>
          <w:tcPr>
            <w:tcW w:w="992" w:type="dxa"/>
          </w:tcPr>
          <w:p w14:paraId="7C967C53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33</w:t>
            </w:r>
          </w:p>
        </w:tc>
        <w:tc>
          <w:tcPr>
            <w:tcW w:w="850" w:type="dxa"/>
          </w:tcPr>
          <w:p w14:paraId="16187060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34</w:t>
            </w:r>
          </w:p>
        </w:tc>
        <w:tc>
          <w:tcPr>
            <w:tcW w:w="1276" w:type="dxa"/>
          </w:tcPr>
          <w:p w14:paraId="7E83B5F8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34</w:t>
            </w:r>
          </w:p>
        </w:tc>
        <w:tc>
          <w:tcPr>
            <w:tcW w:w="1134" w:type="dxa"/>
          </w:tcPr>
          <w:p w14:paraId="1BD59669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 </w:t>
            </w:r>
          </w:p>
          <w:p w14:paraId="312C6296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35</w:t>
            </w:r>
          </w:p>
        </w:tc>
        <w:tc>
          <w:tcPr>
            <w:tcW w:w="992" w:type="dxa"/>
          </w:tcPr>
          <w:p w14:paraId="70B13E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35</w:t>
            </w:r>
          </w:p>
        </w:tc>
        <w:tc>
          <w:tcPr>
            <w:tcW w:w="1418" w:type="dxa"/>
          </w:tcPr>
          <w:p w14:paraId="459790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0C3AE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restart"/>
          </w:tcPr>
          <w:p w14:paraId="7831AFC3">
            <w:pPr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Задача 3:</w:t>
            </w:r>
            <w:r>
              <w:rPr>
                <w:rFonts w:ascii="Times New Roman" w:hAnsi="Times New Roman" w:eastAsia="Calibri" w:cs="Times New Roman"/>
                <w:lang w:eastAsia="zh-CN"/>
              </w:rPr>
              <w:t xml:space="preserve"> Формирование  условий  для активного 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  развития   системы   профессиональной   ориентации, повышения  активности  школьников  в  освоении  и  получении  новых знаний.</w:t>
            </w:r>
          </w:p>
        </w:tc>
        <w:tc>
          <w:tcPr>
            <w:tcW w:w="3837" w:type="dxa"/>
          </w:tcPr>
          <w:p w14:paraId="299A92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 охват детей в возрасте 5-18 лет программами дополнительного образования (удельный вес численности детей, получающих образовательные услуги по дополнительным общеобразовательным программам, в общей численности детей в возрасте 5</w:t>
            </w:r>
            <w:r>
              <w:rPr>
                <w:rFonts w:ascii="Times New Roman" w:hAnsi="Times New Roman" w:cs="Times New Roman"/>
                <w:lang w:eastAsia="en-US"/>
              </w:rPr>
              <w:noBreakHyphen/>
            </w:r>
            <w:r>
              <w:rPr>
                <w:rFonts w:ascii="Times New Roman" w:hAnsi="Times New Roman" w:cs="Times New Roman"/>
                <w:lang w:eastAsia="en-US"/>
              </w:rPr>
              <w:t>18 лет)</w:t>
            </w:r>
          </w:p>
        </w:tc>
        <w:tc>
          <w:tcPr>
            <w:tcW w:w="1134" w:type="dxa"/>
          </w:tcPr>
          <w:p w14:paraId="2D563F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процент</w:t>
            </w:r>
          </w:p>
        </w:tc>
        <w:tc>
          <w:tcPr>
            <w:tcW w:w="993" w:type="dxa"/>
          </w:tcPr>
          <w:p w14:paraId="2A17730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60</w:t>
            </w:r>
          </w:p>
        </w:tc>
        <w:tc>
          <w:tcPr>
            <w:tcW w:w="992" w:type="dxa"/>
          </w:tcPr>
          <w:p w14:paraId="0F6036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65</w:t>
            </w:r>
          </w:p>
        </w:tc>
        <w:tc>
          <w:tcPr>
            <w:tcW w:w="850" w:type="dxa"/>
          </w:tcPr>
          <w:p w14:paraId="094735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70</w:t>
            </w:r>
          </w:p>
        </w:tc>
        <w:tc>
          <w:tcPr>
            <w:tcW w:w="1276" w:type="dxa"/>
          </w:tcPr>
          <w:p w14:paraId="5133133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75</w:t>
            </w:r>
          </w:p>
        </w:tc>
        <w:tc>
          <w:tcPr>
            <w:tcW w:w="1134" w:type="dxa"/>
          </w:tcPr>
          <w:p w14:paraId="606B58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80</w:t>
            </w:r>
          </w:p>
        </w:tc>
        <w:tc>
          <w:tcPr>
            <w:tcW w:w="992" w:type="dxa"/>
          </w:tcPr>
          <w:p w14:paraId="3F58E3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80</w:t>
            </w:r>
          </w:p>
        </w:tc>
        <w:tc>
          <w:tcPr>
            <w:tcW w:w="1418" w:type="dxa"/>
          </w:tcPr>
          <w:p w14:paraId="0842C4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ДК, ГП</w:t>
            </w:r>
          </w:p>
        </w:tc>
      </w:tr>
      <w:tr w14:paraId="18375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441D955E">
            <w:pPr>
              <w:ind w:right="137"/>
              <w:jc w:val="both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73ED20A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Доля участников открытых онлайн-уроков, реализуемых с учетом опыта цикла открытых уроков «Проектория», «Уроки настоящего», Яндекс лицей или иных аналогичных по возможностям, функциям и результатам проектах, направленных на раннюю профориентацию</w:t>
            </w:r>
          </w:p>
        </w:tc>
        <w:tc>
          <w:tcPr>
            <w:tcW w:w="1134" w:type="dxa"/>
          </w:tcPr>
          <w:p w14:paraId="2B5333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процент</w:t>
            </w:r>
          </w:p>
        </w:tc>
        <w:tc>
          <w:tcPr>
            <w:tcW w:w="993" w:type="dxa"/>
          </w:tcPr>
          <w:p w14:paraId="64C4C13C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</w:p>
          <w:p w14:paraId="4AAF2AB0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30</w:t>
            </w:r>
          </w:p>
        </w:tc>
        <w:tc>
          <w:tcPr>
            <w:tcW w:w="992" w:type="dxa"/>
          </w:tcPr>
          <w:p w14:paraId="02DB75BC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</w:p>
          <w:p w14:paraId="73DDD7B8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45</w:t>
            </w:r>
          </w:p>
        </w:tc>
        <w:tc>
          <w:tcPr>
            <w:tcW w:w="850" w:type="dxa"/>
          </w:tcPr>
          <w:p w14:paraId="1B393050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</w:p>
          <w:p w14:paraId="71576006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55</w:t>
            </w:r>
          </w:p>
        </w:tc>
        <w:tc>
          <w:tcPr>
            <w:tcW w:w="1276" w:type="dxa"/>
          </w:tcPr>
          <w:p w14:paraId="63A9BE38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</w:p>
          <w:p w14:paraId="79C9899B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70</w:t>
            </w:r>
          </w:p>
        </w:tc>
        <w:tc>
          <w:tcPr>
            <w:tcW w:w="1134" w:type="dxa"/>
          </w:tcPr>
          <w:p w14:paraId="0BCA354F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</w:p>
          <w:p w14:paraId="6D15354B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80</w:t>
            </w:r>
          </w:p>
        </w:tc>
        <w:tc>
          <w:tcPr>
            <w:tcW w:w="992" w:type="dxa"/>
          </w:tcPr>
          <w:p w14:paraId="07CFFC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не менее 85</w:t>
            </w:r>
          </w:p>
        </w:tc>
        <w:tc>
          <w:tcPr>
            <w:tcW w:w="1418" w:type="dxa"/>
          </w:tcPr>
          <w:p w14:paraId="7E7E5F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  <w:p w14:paraId="78E4E7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ДК</w:t>
            </w:r>
          </w:p>
        </w:tc>
      </w:tr>
      <w:tr w14:paraId="76C44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883" w:hRule="atLeast"/>
          <w:tblCellSpacing w:w="0" w:type="dxa"/>
          <w:jc w:val="center"/>
        </w:trPr>
        <w:tc>
          <w:tcPr>
            <w:tcW w:w="2253" w:type="dxa"/>
            <w:vMerge w:val="restart"/>
          </w:tcPr>
          <w:p w14:paraId="0BF071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Задача 4:</w:t>
            </w:r>
            <w:r>
              <w:rPr>
                <w:rFonts w:ascii="Times New Roman" w:hAnsi="Times New Roman" w:eastAsia="Calibri" w:cs="Times New Roman"/>
                <w:lang w:eastAsia="zh-CN"/>
              </w:rPr>
              <w:t xml:space="preserve"> </w:t>
            </w:r>
            <w:r>
              <w:rPr>
                <w:rFonts w:ascii="Times New Roman" w:hAnsi="Times New Roman" w:cs="Times New Roman"/>
                <w:lang w:eastAsia="zh-CN"/>
              </w:rPr>
              <w:t>Развитие кадрового потенциала системы образования Краснозерского района Новосибирской области.</w:t>
            </w:r>
          </w:p>
          <w:p w14:paraId="070E54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2649A3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 удельный вес численности учителей в возрасте до 35 лет в общей численности учителей  ООУ</w:t>
            </w:r>
          </w:p>
        </w:tc>
        <w:tc>
          <w:tcPr>
            <w:tcW w:w="1134" w:type="dxa"/>
          </w:tcPr>
          <w:p w14:paraId="059B59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710330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17,8</w:t>
            </w:r>
          </w:p>
        </w:tc>
        <w:tc>
          <w:tcPr>
            <w:tcW w:w="992" w:type="dxa"/>
          </w:tcPr>
          <w:p w14:paraId="6ABFEE6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18</w:t>
            </w:r>
          </w:p>
        </w:tc>
        <w:tc>
          <w:tcPr>
            <w:tcW w:w="850" w:type="dxa"/>
          </w:tcPr>
          <w:p w14:paraId="0B5F321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18,2</w:t>
            </w:r>
          </w:p>
        </w:tc>
        <w:tc>
          <w:tcPr>
            <w:tcW w:w="1276" w:type="dxa"/>
          </w:tcPr>
          <w:p w14:paraId="0D9B380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18,5</w:t>
            </w:r>
          </w:p>
        </w:tc>
        <w:tc>
          <w:tcPr>
            <w:tcW w:w="1134" w:type="dxa"/>
          </w:tcPr>
          <w:p w14:paraId="6E436C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19</w:t>
            </w:r>
          </w:p>
        </w:tc>
        <w:tc>
          <w:tcPr>
            <w:tcW w:w="992" w:type="dxa"/>
          </w:tcPr>
          <w:p w14:paraId="13EAC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</w:t>
            </w:r>
          </w:p>
        </w:tc>
        <w:tc>
          <w:tcPr>
            <w:tcW w:w="1418" w:type="dxa"/>
          </w:tcPr>
          <w:p w14:paraId="2271E2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ГП, ДК</w:t>
            </w:r>
          </w:p>
        </w:tc>
      </w:tr>
      <w:tr w14:paraId="3A4A6B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883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65E5220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676284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 удельный вес численности руководителей  ОО, прошедших в течение последних трех лет повышение квалификации или профессиональную переподготовку, в общей численности руководителей  ОО</w:t>
            </w:r>
          </w:p>
        </w:tc>
        <w:tc>
          <w:tcPr>
            <w:tcW w:w="1134" w:type="dxa"/>
          </w:tcPr>
          <w:p w14:paraId="002AC7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200566E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98</w:t>
            </w:r>
          </w:p>
        </w:tc>
        <w:tc>
          <w:tcPr>
            <w:tcW w:w="992" w:type="dxa"/>
          </w:tcPr>
          <w:p w14:paraId="6B752F3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850" w:type="dxa"/>
          </w:tcPr>
          <w:p w14:paraId="443B1F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276" w:type="dxa"/>
          </w:tcPr>
          <w:p w14:paraId="7DA057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</w:tcPr>
          <w:p w14:paraId="601A85E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2" w:type="dxa"/>
          </w:tcPr>
          <w:p w14:paraId="3537ACE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418" w:type="dxa"/>
          </w:tcPr>
          <w:p w14:paraId="5A987E0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ДК</w:t>
            </w:r>
          </w:p>
        </w:tc>
      </w:tr>
      <w:tr w14:paraId="1A328B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883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44B8B0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7C25F48D">
            <w:pPr>
              <w:autoSpaceDE w:val="0"/>
              <w:autoSpaceDN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 доля педагогических работников  ДОУ, которым при прохождении аттестации присвоена первая или высшая категория</w:t>
            </w:r>
          </w:p>
        </w:tc>
        <w:tc>
          <w:tcPr>
            <w:tcW w:w="1134" w:type="dxa"/>
          </w:tcPr>
          <w:p w14:paraId="2631C8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317D17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69</w:t>
            </w:r>
          </w:p>
        </w:tc>
        <w:tc>
          <w:tcPr>
            <w:tcW w:w="992" w:type="dxa"/>
          </w:tcPr>
          <w:p w14:paraId="6F9BE39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70</w:t>
            </w:r>
          </w:p>
        </w:tc>
        <w:tc>
          <w:tcPr>
            <w:tcW w:w="850" w:type="dxa"/>
          </w:tcPr>
          <w:p w14:paraId="16FBC31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71</w:t>
            </w:r>
          </w:p>
        </w:tc>
        <w:tc>
          <w:tcPr>
            <w:tcW w:w="1276" w:type="dxa"/>
          </w:tcPr>
          <w:p w14:paraId="35BE9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72</w:t>
            </w:r>
          </w:p>
        </w:tc>
        <w:tc>
          <w:tcPr>
            <w:tcW w:w="1134" w:type="dxa"/>
          </w:tcPr>
          <w:p w14:paraId="69D3C5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73</w:t>
            </w:r>
          </w:p>
        </w:tc>
        <w:tc>
          <w:tcPr>
            <w:tcW w:w="992" w:type="dxa"/>
          </w:tcPr>
          <w:p w14:paraId="088CB06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74</w:t>
            </w:r>
          </w:p>
        </w:tc>
        <w:tc>
          <w:tcPr>
            <w:tcW w:w="1418" w:type="dxa"/>
          </w:tcPr>
          <w:p w14:paraId="48D0AD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ДК</w:t>
            </w:r>
          </w:p>
        </w:tc>
      </w:tr>
      <w:tr w14:paraId="6D6D77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883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26D869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6D3297FF">
            <w:pPr>
              <w:autoSpaceDE w:val="0"/>
              <w:autoSpaceDN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 доля педагогических работников  ООУ, которым при прохождении аттестации присвоена первая или высшая категория</w:t>
            </w:r>
          </w:p>
        </w:tc>
        <w:tc>
          <w:tcPr>
            <w:tcW w:w="1134" w:type="dxa"/>
          </w:tcPr>
          <w:p w14:paraId="2978DEE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5658CD6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68</w:t>
            </w:r>
          </w:p>
        </w:tc>
        <w:tc>
          <w:tcPr>
            <w:tcW w:w="992" w:type="dxa"/>
          </w:tcPr>
          <w:p w14:paraId="1209C4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69</w:t>
            </w:r>
          </w:p>
        </w:tc>
        <w:tc>
          <w:tcPr>
            <w:tcW w:w="850" w:type="dxa"/>
          </w:tcPr>
          <w:p w14:paraId="22407C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70</w:t>
            </w:r>
          </w:p>
        </w:tc>
        <w:tc>
          <w:tcPr>
            <w:tcW w:w="1276" w:type="dxa"/>
          </w:tcPr>
          <w:p w14:paraId="29DB8C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71</w:t>
            </w:r>
          </w:p>
        </w:tc>
        <w:tc>
          <w:tcPr>
            <w:tcW w:w="1134" w:type="dxa"/>
          </w:tcPr>
          <w:p w14:paraId="6093D0D7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72</w:t>
            </w:r>
          </w:p>
        </w:tc>
        <w:tc>
          <w:tcPr>
            <w:tcW w:w="992" w:type="dxa"/>
          </w:tcPr>
          <w:p w14:paraId="0C8B7BCE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73</w:t>
            </w:r>
          </w:p>
        </w:tc>
        <w:tc>
          <w:tcPr>
            <w:tcW w:w="1418" w:type="dxa"/>
          </w:tcPr>
          <w:p w14:paraId="176277F3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ДК</w:t>
            </w:r>
          </w:p>
        </w:tc>
      </w:tr>
      <w:tr w14:paraId="657A79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1687" w:hRule="atLeast"/>
          <w:tblCellSpacing w:w="0" w:type="dxa"/>
          <w:jc w:val="center"/>
        </w:trPr>
        <w:tc>
          <w:tcPr>
            <w:tcW w:w="2253" w:type="dxa"/>
            <w:vMerge w:val="restart"/>
          </w:tcPr>
          <w:p w14:paraId="0DB4A26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Задача 5: Обеспечение здорового питания обучающихся образовательных организаций Краснозерского района Новосибирской области, соответствующего возрастным физиологическим потребностям.</w:t>
            </w:r>
          </w:p>
          <w:p w14:paraId="09B5AC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7D05DC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  охват детей одноразовым горячим питанием в ООУ </w:t>
            </w:r>
          </w:p>
        </w:tc>
        <w:tc>
          <w:tcPr>
            <w:tcW w:w="1134" w:type="dxa"/>
          </w:tcPr>
          <w:p w14:paraId="5FAFAC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32A3EB5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66,3</w:t>
            </w:r>
          </w:p>
        </w:tc>
        <w:tc>
          <w:tcPr>
            <w:tcW w:w="992" w:type="dxa"/>
          </w:tcPr>
          <w:p w14:paraId="5289DB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66,5</w:t>
            </w:r>
          </w:p>
        </w:tc>
        <w:tc>
          <w:tcPr>
            <w:tcW w:w="850" w:type="dxa"/>
          </w:tcPr>
          <w:p w14:paraId="0C41D5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66,9</w:t>
            </w:r>
          </w:p>
        </w:tc>
        <w:tc>
          <w:tcPr>
            <w:tcW w:w="1276" w:type="dxa"/>
          </w:tcPr>
          <w:p w14:paraId="48DC08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67,0</w:t>
            </w:r>
          </w:p>
        </w:tc>
        <w:tc>
          <w:tcPr>
            <w:tcW w:w="1134" w:type="dxa"/>
          </w:tcPr>
          <w:p w14:paraId="1B226881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67,5</w:t>
            </w:r>
          </w:p>
        </w:tc>
        <w:tc>
          <w:tcPr>
            <w:tcW w:w="992" w:type="dxa"/>
          </w:tcPr>
          <w:p w14:paraId="640BDA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68</w:t>
            </w:r>
          </w:p>
        </w:tc>
        <w:tc>
          <w:tcPr>
            <w:tcW w:w="1418" w:type="dxa"/>
          </w:tcPr>
          <w:p w14:paraId="76F5B22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 </w:t>
            </w:r>
          </w:p>
        </w:tc>
      </w:tr>
      <w:tr w14:paraId="3C4B2B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1730" w:hRule="atLeast"/>
          <w:tblCellSpacing w:w="0" w:type="dxa"/>
          <w:jc w:val="center"/>
        </w:trPr>
        <w:tc>
          <w:tcPr>
            <w:tcW w:w="2253" w:type="dxa"/>
            <w:vMerge w:val="continue"/>
          </w:tcPr>
          <w:p w14:paraId="3097D4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3837" w:type="dxa"/>
          </w:tcPr>
          <w:p w14:paraId="57B61C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  охват детей двухразовым горячим питанием в ООУ</w:t>
            </w:r>
          </w:p>
        </w:tc>
        <w:tc>
          <w:tcPr>
            <w:tcW w:w="1134" w:type="dxa"/>
          </w:tcPr>
          <w:p w14:paraId="33EDB15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процент</w:t>
            </w:r>
          </w:p>
        </w:tc>
        <w:tc>
          <w:tcPr>
            <w:tcW w:w="993" w:type="dxa"/>
          </w:tcPr>
          <w:p w14:paraId="37CA95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25,0</w:t>
            </w:r>
          </w:p>
        </w:tc>
        <w:tc>
          <w:tcPr>
            <w:tcW w:w="992" w:type="dxa"/>
          </w:tcPr>
          <w:p w14:paraId="5DB048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25,5</w:t>
            </w:r>
          </w:p>
        </w:tc>
        <w:tc>
          <w:tcPr>
            <w:tcW w:w="850" w:type="dxa"/>
          </w:tcPr>
          <w:p w14:paraId="1492EB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25,7</w:t>
            </w:r>
          </w:p>
        </w:tc>
        <w:tc>
          <w:tcPr>
            <w:tcW w:w="1276" w:type="dxa"/>
          </w:tcPr>
          <w:p w14:paraId="617D9A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30,0</w:t>
            </w:r>
          </w:p>
        </w:tc>
        <w:tc>
          <w:tcPr>
            <w:tcW w:w="1134" w:type="dxa"/>
          </w:tcPr>
          <w:p w14:paraId="032FD9D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31,5 </w:t>
            </w:r>
          </w:p>
        </w:tc>
        <w:tc>
          <w:tcPr>
            <w:tcW w:w="992" w:type="dxa"/>
          </w:tcPr>
          <w:p w14:paraId="717206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32</w:t>
            </w:r>
          </w:p>
        </w:tc>
        <w:tc>
          <w:tcPr>
            <w:tcW w:w="1418" w:type="dxa"/>
          </w:tcPr>
          <w:p w14:paraId="1D90F13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1BD26E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1730" w:hRule="atLeast"/>
          <w:tblCellSpacing w:w="0" w:type="dxa"/>
          <w:jc w:val="center"/>
        </w:trPr>
        <w:tc>
          <w:tcPr>
            <w:tcW w:w="2253" w:type="dxa"/>
          </w:tcPr>
          <w:p w14:paraId="505907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Задача 6: Развитие системы обеспечения безопасности функционирования и охраны здоровья в образовательных организациях  Краснозерского района Новосибирской области.</w:t>
            </w:r>
          </w:p>
        </w:tc>
        <w:tc>
          <w:tcPr>
            <w:tcW w:w="3837" w:type="dxa"/>
          </w:tcPr>
          <w:p w14:paraId="13AD477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Обновление АПС</w:t>
            </w:r>
          </w:p>
        </w:tc>
        <w:tc>
          <w:tcPr>
            <w:tcW w:w="1134" w:type="dxa"/>
          </w:tcPr>
          <w:p w14:paraId="3BB6DBE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количество</w:t>
            </w:r>
          </w:p>
        </w:tc>
        <w:tc>
          <w:tcPr>
            <w:tcW w:w="993" w:type="dxa"/>
          </w:tcPr>
          <w:p w14:paraId="2BE69BA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</w:t>
            </w:r>
          </w:p>
        </w:tc>
        <w:tc>
          <w:tcPr>
            <w:tcW w:w="992" w:type="dxa"/>
          </w:tcPr>
          <w:p w14:paraId="5206B6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</w:t>
            </w:r>
          </w:p>
        </w:tc>
        <w:tc>
          <w:tcPr>
            <w:tcW w:w="850" w:type="dxa"/>
          </w:tcPr>
          <w:p w14:paraId="5FFA9B4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</w:t>
            </w:r>
          </w:p>
        </w:tc>
        <w:tc>
          <w:tcPr>
            <w:tcW w:w="1276" w:type="dxa"/>
          </w:tcPr>
          <w:p w14:paraId="40517A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</w:t>
            </w:r>
          </w:p>
        </w:tc>
        <w:tc>
          <w:tcPr>
            <w:tcW w:w="1134" w:type="dxa"/>
          </w:tcPr>
          <w:p w14:paraId="42F61C6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</w:t>
            </w:r>
          </w:p>
        </w:tc>
        <w:tc>
          <w:tcPr>
            <w:tcW w:w="992" w:type="dxa"/>
          </w:tcPr>
          <w:p w14:paraId="24EE6A3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</w:t>
            </w:r>
          </w:p>
        </w:tc>
        <w:tc>
          <w:tcPr>
            <w:tcW w:w="1418" w:type="dxa"/>
          </w:tcPr>
          <w:p w14:paraId="013B73A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14:paraId="06FE16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1730" w:hRule="atLeast"/>
          <w:tblCellSpacing w:w="0" w:type="dxa"/>
          <w:jc w:val="center"/>
        </w:trPr>
        <w:tc>
          <w:tcPr>
            <w:tcW w:w="2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48E0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 xml:space="preserve">Задача 7: </w:t>
            </w:r>
          </w:p>
        </w:tc>
        <w:tc>
          <w:tcPr>
            <w:tcW w:w="3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B7C22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Охват детей персонифицированным финансированием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6B0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Число сертификатов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E288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0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4B89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75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A03027">
            <w:r>
              <w:rPr>
                <w:rFonts w:ascii="Times New Roman" w:hAnsi="Times New Roman" w:cs="Times New Roman"/>
                <w:lang w:eastAsia="zh-CN"/>
              </w:rPr>
              <w:t>75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DDBAFB">
            <w:r>
              <w:rPr>
                <w:rFonts w:ascii="Times New Roman" w:hAnsi="Times New Roman" w:cs="Times New Roman"/>
                <w:lang w:eastAsia="zh-CN"/>
              </w:rPr>
              <w:t>1000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5FF4E8">
            <w:r>
              <w:rPr>
                <w:rFonts w:ascii="Times New Roman" w:hAnsi="Times New Roman" w:cs="Times New Roman"/>
                <w:lang w:eastAsia="zh-CN"/>
              </w:rPr>
              <w:t>1000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D931E4">
            <w:r>
              <w:rPr>
                <w:rFonts w:ascii="Times New Roman" w:hAnsi="Times New Roman" w:cs="Times New Roman"/>
                <w:lang w:eastAsia="zh-CN"/>
              </w:rPr>
              <w:t>1000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4490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highlight w:val="yellow"/>
                <w:lang w:eastAsia="zh-CN"/>
              </w:rPr>
            </w:pPr>
          </w:p>
        </w:tc>
      </w:tr>
    </w:tbl>
    <w:p w14:paraId="61265840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Применяемые сокращения:</w:t>
      </w:r>
    </w:p>
    <w:p w14:paraId="7007832F">
      <w:pPr>
        <w:ind w:firstLine="709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>
        <w:rPr>
          <w:rFonts w:ascii="Times New Roman" w:hAnsi="Times New Roman" w:cs="Times New Roman"/>
          <w:sz w:val="22"/>
          <w:szCs w:val="22"/>
          <w:lang w:eastAsia="zh-CN"/>
        </w:rPr>
        <w:t xml:space="preserve"> </w:t>
      </w:r>
    </w:p>
    <w:p w14:paraId="6F01EC44">
      <w:pPr>
        <w:ind w:firstLine="709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>
        <w:rPr>
          <w:rFonts w:ascii="Times New Roman" w:hAnsi="Times New Roman" w:cs="Times New Roman"/>
          <w:sz w:val="22"/>
          <w:szCs w:val="22"/>
          <w:lang w:eastAsia="zh-CN"/>
        </w:rPr>
        <w:t>ГП – государственная программа Новосибирской области;</w:t>
      </w:r>
    </w:p>
    <w:p w14:paraId="17A2576F">
      <w:pPr>
        <w:ind w:firstLine="709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>
        <w:rPr>
          <w:rFonts w:ascii="Times New Roman" w:hAnsi="Times New Roman" w:cs="Times New Roman"/>
          <w:sz w:val="22"/>
          <w:szCs w:val="22"/>
          <w:lang w:eastAsia="zh-CN"/>
        </w:rPr>
        <w:t>ДК – дорожная карта;</w:t>
      </w:r>
    </w:p>
    <w:p w14:paraId="148617B5">
      <w:pPr>
        <w:ind w:firstLine="709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>
        <w:rPr>
          <w:rFonts w:ascii="Times New Roman" w:hAnsi="Times New Roman" w:cs="Times New Roman"/>
          <w:sz w:val="22"/>
          <w:szCs w:val="22"/>
          <w:lang w:eastAsia="zh-CN"/>
        </w:rPr>
        <w:t>ФГОС – федеральный государственный образовательный стандарт;</w:t>
      </w:r>
    </w:p>
    <w:p w14:paraId="0AD4C603">
      <w:pPr>
        <w:ind w:firstLine="709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>
        <w:rPr>
          <w:rFonts w:ascii="Times New Roman" w:hAnsi="Times New Roman" w:cs="Times New Roman"/>
          <w:sz w:val="22"/>
          <w:szCs w:val="22"/>
          <w:lang w:eastAsia="zh-CN"/>
        </w:rPr>
        <w:t>ОО – образовательные организации;</w:t>
      </w:r>
    </w:p>
    <w:p w14:paraId="2902281E">
      <w:pPr>
        <w:ind w:firstLine="709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>
        <w:rPr>
          <w:rFonts w:ascii="Times New Roman" w:hAnsi="Times New Roman" w:cs="Times New Roman"/>
          <w:sz w:val="22"/>
          <w:szCs w:val="22"/>
          <w:lang w:eastAsia="zh-CN"/>
        </w:rPr>
        <w:t>ООУ – общеобразовательные учреждения;</w:t>
      </w:r>
    </w:p>
    <w:p w14:paraId="27740F2F">
      <w:pPr>
        <w:ind w:firstLine="709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>
        <w:rPr>
          <w:rFonts w:ascii="Times New Roman" w:hAnsi="Times New Roman" w:cs="Times New Roman"/>
          <w:sz w:val="22"/>
          <w:szCs w:val="22"/>
          <w:lang w:eastAsia="zh-CN"/>
        </w:rPr>
        <w:t>ДОУ – дошкольные образовательные учреждения</w:t>
      </w:r>
    </w:p>
    <w:p w14:paraId="3C772948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C1AC13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7CB1C5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b/>
          <w:sz w:val="28"/>
          <w:szCs w:val="28"/>
        </w:rPr>
        <w:t>ОСНОВНЫЕ МЕРОПРИЯТИЯ</w:t>
      </w:r>
    </w:p>
    <w:p w14:paraId="36E67D3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Краснозерского района Новосибирской области </w:t>
      </w:r>
    </w:p>
    <w:p w14:paraId="44FF994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«Развитие образования в Краснозерском районе Новосибирской области</w:t>
      </w:r>
    </w:p>
    <w:p w14:paraId="66ED550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2021-2025 годы»</w:t>
      </w:r>
    </w:p>
    <w:p w14:paraId="7E7304FD">
      <w:pPr>
        <w:rPr>
          <w:rFonts w:ascii="Times New Roman" w:hAnsi="Times New Roman" w:cs="Times New Roman"/>
          <w:sz w:val="28"/>
          <w:szCs w:val="28"/>
        </w:rPr>
      </w:pPr>
    </w:p>
    <w:p w14:paraId="779B2ABA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3"/>
        <w:tblW w:w="14185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121"/>
        <w:gridCol w:w="3119"/>
        <w:gridCol w:w="850"/>
        <w:gridCol w:w="836"/>
        <w:gridCol w:w="865"/>
        <w:gridCol w:w="850"/>
        <w:gridCol w:w="851"/>
        <w:gridCol w:w="2693"/>
      </w:tblGrid>
      <w:tr w14:paraId="4551182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53" w:hRule="atLeast"/>
        </w:trPr>
        <w:tc>
          <w:tcPr>
            <w:tcW w:w="4121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7249F0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основного мероприятия</w:t>
            </w:r>
          </w:p>
          <w:p w14:paraId="32D8DA11">
            <w:pPr>
              <w:pStyle w:val="9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037829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Разработчик (Разработчик - координатор), ответственные за привлечение средств, исполнители программных мероприятий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1CCBFD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Сумма затрат, тыс. руб. </w:t>
            </w:r>
          </w:p>
          <w:p w14:paraId="3FC8AC7D">
            <w:pPr>
              <w:pStyle w:val="9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4F672D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  <w:p w14:paraId="52D2258A">
            <w:pPr>
              <w:pStyle w:val="9"/>
              <w:rPr>
                <w:rFonts w:ascii="Times New Roman" w:hAnsi="Times New Roman" w:cs="Times New Roman"/>
              </w:rPr>
            </w:pPr>
          </w:p>
        </w:tc>
      </w:tr>
      <w:tr w14:paraId="7216DB27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6" w:hRule="atLeast"/>
        </w:trPr>
        <w:tc>
          <w:tcPr>
            <w:tcW w:w="4121" w:type="dxa"/>
            <w:vMerge w:val="continue"/>
            <w:tcBorders>
              <w:left w:val="single" w:color="auto" w:sz="4" w:space="0"/>
            </w:tcBorders>
            <w:shd w:val="clear" w:color="auto" w:fill="FFFFFF"/>
          </w:tcPr>
          <w:p w14:paraId="214D4F10">
            <w:pPr>
              <w:pStyle w:val="9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continue"/>
            <w:tcBorders>
              <w:left w:val="single" w:color="auto" w:sz="4" w:space="0"/>
            </w:tcBorders>
            <w:shd w:val="clear" w:color="auto" w:fill="FFFFFF"/>
          </w:tcPr>
          <w:p w14:paraId="7FB69BCA">
            <w:pPr>
              <w:pStyle w:val="9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D4C528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2021 год 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72D148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20222 год 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A807F8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2023 год 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EB568A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2024 год 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8DA396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2025 год </w:t>
            </w:r>
          </w:p>
        </w:tc>
        <w:tc>
          <w:tcPr>
            <w:tcW w:w="26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3C888780">
            <w:pPr>
              <w:pStyle w:val="9"/>
              <w:rPr>
                <w:rFonts w:ascii="Times New Roman" w:hAnsi="Times New Roman" w:cs="Times New Roman"/>
              </w:rPr>
            </w:pPr>
          </w:p>
        </w:tc>
      </w:tr>
      <w:tr w14:paraId="52478911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DDFD25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B5EE30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0D0EC3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B50CA7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E61494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1B6379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D47F21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3E3F733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14:paraId="4F8176E1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79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4D4C374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Цель: обеспечение соответствия высокого качества образования меняющимся запросам населения и перспективным задачам социально-экономического развития Краснозерского района.</w:t>
            </w:r>
          </w:p>
        </w:tc>
      </w:tr>
      <w:tr w14:paraId="38DA59D3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6572258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Задача 1: Создание </w:t>
            </w:r>
            <w:r>
              <w:rPr>
                <w:rFonts w:ascii="Times New Roman" w:hAnsi="Times New Roman" w:eastAsia="Calibri" w:cs="Times New Roman"/>
              </w:rPr>
              <w:t xml:space="preserve">   в системе дошкольного, общего и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образовательных организаций.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</w:tr>
      <w:tr w14:paraId="746144D4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FE02A9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Реализация комплекса мер по повышению качества общего образования.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621178F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1F2C6B7F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744C025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ООУ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3BC865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3F6731C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Будет сокращен разрыв в образовательных результатах между обучающимися за счет повышения эффективности и качества работы в школах с низкими образовательными результатами обучающихся.</w:t>
            </w:r>
          </w:p>
        </w:tc>
      </w:tr>
      <w:tr w14:paraId="1C6A352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A96BF9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1.2. Реконструкция и ремонт зданий, обеспечение содержания зданий и сооружений муниципальных образовательных организаций, обустройство прилегающих к ним территорий. 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54EE28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407D52F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ответственные исполнители программных мероприятий: </w:t>
            </w:r>
          </w:p>
          <w:p w14:paraId="01815A4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«Центр», ОО, управление строительства, коммунального, дорожного хозяйства и экологии администрации Краснозерского района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7630EE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3915,1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A5513E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3915,1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497568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3915,1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07ADC2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yellow"/>
              </w:rPr>
              <w:t>77025,3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41D8C50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48663,6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7E237B92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Будут обеспечены современные условия предоставления общего и дополнительного образования в соответствии с ФГОС и дополнительного образования.</w:t>
            </w:r>
          </w:p>
        </w:tc>
      </w:tr>
      <w:tr w14:paraId="3E2D6D79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66A4A5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1.3.  Модернизация технологической и материально-технической оснащенности муниципальных образовательных организаций Краснозерского района Новосибирской области.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FFC652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7E9979A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1D3F4BA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МКУ «Центр», ОО 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5B57D1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8180,8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055E2E4">
            <w:r>
              <w:rPr>
                <w:rFonts w:ascii="Times New Roman" w:hAnsi="Times New Roman" w:cs="Times New Roman"/>
              </w:rPr>
              <w:t>8180,8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3D96ADD">
            <w:r>
              <w:rPr>
                <w:rFonts w:ascii="Times New Roman" w:hAnsi="Times New Roman" w:cs="Times New Roman"/>
              </w:rPr>
              <w:t>8138,4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FD3D5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6091,4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6969A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1E5293C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Будут обеспечены современные условия предоставления общего образования в соответствии с ФГОС. Будут созданы условия для реализации программ дополнительного образования детей спортивной и технической направленности, в том числе развитие сетевых моделей реализации программ дополнительного образования общеобразовательными организациями, организациями культуры и спорта.</w:t>
            </w:r>
          </w:p>
        </w:tc>
      </w:tr>
      <w:tr w14:paraId="6C71CA4C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241940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1.4. Организационно-правовое, информационно-методическое сопровождение перехода образовательных организаций Краснозерского района Новосибирской области к реализации основных образовательных программ дошкольного и общего образования в соответствии с ФГОС.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5961B9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2AEE0E1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ООУ, ДОУ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6142F3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34FE977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2025 году все обучающиеся общеобразовательных организаций будут обучаться</w:t>
            </w:r>
          </w:p>
          <w:p w14:paraId="4A5CBC6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 воспитываться по программам, соответствующим ФГОС</w:t>
            </w:r>
          </w:p>
        </w:tc>
      </w:tr>
      <w:tr w14:paraId="6B8D40F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84C735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1.5. Обеспечение функционирования информационно-технологической инфраструктуры сферы образования и информационной открытости образовательных организаций и управления образования администрации Краснозерского района.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E427A3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6BE536F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07BEDE7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ОО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871FF2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403B40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Всеми образовательными организациями и управлением образования будет обеспечиваться доступность информации о своей деятельности на официальных сайтах в сети Интернет.</w:t>
            </w:r>
          </w:p>
          <w:p w14:paraId="5705EDD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 всех  ОО будут действовать коллегиальные органы управления с участием общественности (родители, работодатели и др.).</w:t>
            </w:r>
          </w:p>
        </w:tc>
      </w:tr>
      <w:tr w14:paraId="46E16317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73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A25F33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1,6. Развитие институтов общественного участия в оценке и повышении качества образования.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6E9AB1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3752C3F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ОО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936467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3AAA90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объективности информации о качестве образования</w:t>
            </w:r>
          </w:p>
          <w:p w14:paraId="0875EFC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Краснозерском районе Новосибирской области.</w:t>
            </w:r>
          </w:p>
        </w:tc>
      </w:tr>
      <w:tr w14:paraId="141D196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7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5AF5685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Задача 2: </w:t>
            </w:r>
            <w:r>
              <w:rPr>
                <w:rFonts w:ascii="Times New Roman" w:hAnsi="Times New Roman" w:eastAsia="Calibri" w:cs="Times New Roman"/>
              </w:rPr>
              <w:t>Обеспечение  равных  возможностей  для  детей  в  получении качественного образования и позитивной социализации независимо от их  места  жительства,  состояния  здоровья  и  социально-экономического положения их семей.</w:t>
            </w:r>
          </w:p>
        </w:tc>
      </w:tr>
      <w:tr w14:paraId="2F38157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37AB26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 Финансовое обеспечение муниципальных организаций по реализации образовательных программ общего и дополнительного образования в Краснозерском районе Новосибирской области.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6E6C58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575A29B0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«Центр», ОО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C120A7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861704,3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45A114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1031609,9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7962E20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1129499,8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0259BEC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  <w:t>1227033,1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FAE4ED0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1351893,3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7AB33EB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Формирование и финансовое обеспечение  реализации основных общеобразовательных и дополнительных общеобразовательных программ.</w:t>
            </w:r>
          </w:p>
        </w:tc>
      </w:tr>
      <w:tr w14:paraId="49C77DD3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5EEFF6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2.2. Обеспечение инфраструктурной доступности качественных образовательных услуг.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6F77FE2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57DE324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34B8590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ООУ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550BFB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AEAB1C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Всем обучающимся старшей ступени общего образования будет обеспечена возможность обучаться по индивидуальным образовательным траекториям, в том числе в условиях сетевого взаимодействия</w:t>
            </w:r>
          </w:p>
        </w:tc>
      </w:tr>
      <w:tr w14:paraId="30F69E3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B9BBFB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2.3. Развитие вариативных форм организации образования детей с ограниченными возможностями здоровья и детей-инвалидов.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E67553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2E640D8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ОО, МКУ «Центр»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2DAD9C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18D8A262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Будет создана безбарьерная образовательная среда, необходимая для обеспечения полноценной интеграции детей-инвалидов, которым показана такая возможность, в образовательный процесс; всем детям-инвалидам и детям с ОВЗ, их родителям (законным представителям) будет обеспечена свобода выбора форм обучения, включая дистанционное и электронное обучение.</w:t>
            </w:r>
          </w:p>
        </w:tc>
      </w:tr>
      <w:tr w14:paraId="15F1816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FDB420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2.4. Развитие системы психолого</w:t>
            </w:r>
            <w:r>
              <w:rPr>
                <w:rFonts w:ascii="Times New Roman" w:hAnsi="Times New Roman" w:cs="Times New Roman"/>
              </w:rPr>
              <w:softHyphen/>
            </w:r>
            <w:r>
              <w:rPr>
                <w:rFonts w:ascii="Times New Roman" w:hAnsi="Times New Roman" w:cs="Times New Roman"/>
              </w:rPr>
              <w:t>педагогической, медико-социальной, информационной и научно-методической поддержки общеобразовательных и дошкольных образовательных организаций и педагогических работников, работающих с детьми-инвалидами и детьми с ОВЗ.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D5005A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15F9C60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72349F5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ООУ, ДОУ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AE3C6BF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5D17DA0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Будет обеспечено сетевое взаимодействие служб сопровождения и образовательных организаций,</w:t>
            </w:r>
          </w:p>
          <w:p w14:paraId="0017395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обеспечивающих совместное обучение детей с ОВЗ, методическое обеспечение реализации дистанционных образовательных программ.</w:t>
            </w:r>
          </w:p>
        </w:tc>
      </w:tr>
      <w:tr w14:paraId="1FACC26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50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109F669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Задача 3:  </w:t>
            </w:r>
            <w:r>
              <w:rPr>
                <w:rFonts w:ascii="Times New Roman" w:hAnsi="Times New Roman" w:eastAsia="Calibri" w:cs="Times New Roman"/>
              </w:rPr>
              <w:t>Формирование  условий  для  активного 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  развития   системы   профессиональной   ориентации, повышения  активности  школьников  в  освоении  и  получении  новых знаний.</w:t>
            </w:r>
          </w:p>
        </w:tc>
      </w:tr>
      <w:tr w14:paraId="32004615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9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F5A9A3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3.1. Поддержка муниципальных организаций дополнительного образования, обеспечивающих условия и ресурсы для развития, социальной адаптации и самореализации детей, формирование ценностей и компетенций для профессионального и жизненного самоопределения.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440E2B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7A1A726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02CFC76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МКУ «Центр»,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МБУ ДО ДДТ, МБУ ДЮСШ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02F0F8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60,0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F286AB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60,0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1ACD1B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60,0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DDD967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AA6DC2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4208DA72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Развитие практик вовлечения  обучающихся  в социальную практику и  их информирование о потенциальных возможностях саморазвития, обеспечение поддержки талантливой, научной, творческой, предпринимательской  и спортивной активности молодежи.</w:t>
            </w:r>
          </w:p>
        </w:tc>
      </w:tr>
      <w:tr w14:paraId="15EBEDBA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97BAF5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3.2. Организация допризывной подготовки граждан к военной службе.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600B2C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05AF74E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ООУ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E7213C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189,0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2575C00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190.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089746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205,0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02445D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199,00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32DB88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200,00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7EB8F26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Будет обеспечено проведение мероприятий по содействию патриотическому воспитанию граждан Российской Федерации, проживающих на территории  Краснозерского района Новосибирской области.</w:t>
            </w:r>
          </w:p>
        </w:tc>
      </w:tr>
      <w:tr w14:paraId="48C9D4A9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75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8860DC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3.3. Поддержка образовательных организаций, реализующих эффективные модели формирования здорового образа жизни, духовно-нравственного воспитания и профориентации обучающихся.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22C35E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3895DED0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242EBC6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МБУ ДО ДДТ, МБУ ДЮСШ, ООУ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C2CEE1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400635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Будет обеспечено проведение мероприятий по содействию формирования правовых, культурных и нравственных ценностей среди молодежи. Улучшится информированность школьников о приоритетных направлениях подготовки кадров. </w:t>
            </w:r>
          </w:p>
        </w:tc>
      </w:tr>
      <w:tr w14:paraId="37BFEFCE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7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31754131">
            <w:pPr>
              <w:pStyle w:val="9"/>
              <w:rPr>
                <w:rFonts w:ascii="Times New Roman" w:hAnsi="Times New Roman" w:cs="Times New Roman"/>
              </w:rPr>
            </w:pPr>
          </w:p>
          <w:p w14:paraId="132BC923">
            <w:pPr>
              <w:pStyle w:val="9"/>
              <w:rPr>
                <w:rFonts w:ascii="Times New Roman" w:hAnsi="Times New Roman" w:cs="Times New Roman"/>
              </w:rPr>
            </w:pPr>
          </w:p>
          <w:p w14:paraId="3B6C23D4">
            <w:pPr>
              <w:pStyle w:val="9"/>
              <w:rPr>
                <w:rFonts w:ascii="Times New Roman" w:hAnsi="Times New Roman" w:cs="Times New Roman"/>
              </w:rPr>
            </w:pPr>
          </w:p>
          <w:p w14:paraId="3F1A8E08">
            <w:pPr>
              <w:pStyle w:val="9"/>
              <w:rPr>
                <w:rFonts w:ascii="Times New Roman" w:hAnsi="Times New Roman" w:cs="Times New Roman"/>
              </w:rPr>
            </w:pPr>
          </w:p>
          <w:p w14:paraId="61314706">
            <w:pPr>
              <w:pStyle w:val="9"/>
              <w:rPr>
                <w:rFonts w:ascii="Times New Roman" w:hAnsi="Times New Roman" w:cs="Times New Roman"/>
              </w:rPr>
            </w:pPr>
          </w:p>
          <w:p w14:paraId="0ACAB0AB">
            <w:pPr>
              <w:pStyle w:val="9"/>
              <w:rPr>
                <w:rFonts w:ascii="Times New Roman" w:hAnsi="Times New Roman" w:cs="Times New Roman"/>
              </w:rPr>
            </w:pPr>
          </w:p>
          <w:p w14:paraId="5B5ADC12">
            <w:pPr>
              <w:pStyle w:val="9"/>
              <w:rPr>
                <w:rFonts w:ascii="Times New Roman" w:hAnsi="Times New Roman" w:cs="Times New Roman"/>
              </w:rPr>
            </w:pPr>
          </w:p>
          <w:p w14:paraId="3A830A07">
            <w:pPr>
              <w:pStyle w:val="9"/>
              <w:rPr>
                <w:rFonts w:ascii="Times New Roman" w:hAnsi="Times New Roman" w:cs="Times New Roman"/>
              </w:rPr>
            </w:pPr>
          </w:p>
          <w:p w14:paraId="6D3C43A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Задача 4:  Р</w:t>
            </w:r>
            <w:r>
              <w:rPr>
                <w:rFonts w:ascii="Times New Roman" w:hAnsi="Times New Roman" w:cs="Times New Roman"/>
                <w:lang w:eastAsia="en-US"/>
              </w:rPr>
              <w:t>азвитие кадрового потенциала системы образования Краснозерского района Новосибирской области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14:paraId="5E61B9B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40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356F23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4.1. Совершенствование финансово-</w:t>
            </w:r>
            <w:r>
              <w:rPr>
                <w:rFonts w:ascii="Times New Roman" w:hAnsi="Times New Roman" w:cs="Times New Roman"/>
              </w:rPr>
              <w:softHyphen/>
            </w:r>
            <w:r>
              <w:rPr>
                <w:rFonts w:ascii="Times New Roman" w:hAnsi="Times New Roman" w:cs="Times New Roman"/>
              </w:rPr>
              <w:t>экономических механизмов повышения квалификации и переподготовки работников образования Краснозерского района Новосибирской области.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6DA772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16C9882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«Центр», ОО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CE7FFB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696CE7F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Будет обеспечена подготовка, переподготовка и повышение квалификации педагогических и управленческих кадров для системы образования. Будет осуществлено повышение квалификации работников системы образования в соответствии с требованиями ФГОС и профессиональных стандартов педагогов.</w:t>
            </w:r>
          </w:p>
        </w:tc>
      </w:tr>
      <w:tr w14:paraId="7E2139F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52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331285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4.2. Выявление, поощрение и распространение лучших практик и образцов деятельности образовательных организаций и педагогов Краснозерского района Новосибирской области.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DF68AEF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28408BD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МКУ «Центр»,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ОО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3B02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172,3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AF1EA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178,9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EBE091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188,0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0F26A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198,6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73305A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213,6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546DBCBD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Будут обеспечены выплаты для поощрения лучших учителей, реализация иных мер поддержки развития кадрового потенциала, проведение социально </w:t>
            </w:r>
            <w:r>
              <w:rPr>
                <w:rFonts w:ascii="Times New Roman" w:hAnsi="Times New Roman" w:cs="Times New Roman"/>
              </w:rPr>
              <w:softHyphen/>
            </w:r>
            <w:r>
              <w:rPr>
                <w:rFonts w:ascii="Times New Roman" w:hAnsi="Times New Roman" w:cs="Times New Roman"/>
              </w:rPr>
              <w:t>значимых мероприятий с педагогическими работниками.</w:t>
            </w:r>
          </w:p>
        </w:tc>
      </w:tr>
      <w:tr w14:paraId="5BC79E41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759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461901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4.3. Развитие и распространение инновационных практик в системе образования Краснозерского района Новосибирской области.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4A2453F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169123E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ответственные исполнители программных мероприятий:</w:t>
            </w:r>
          </w:p>
          <w:p w14:paraId="5A4DB4B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ООУ, ДОУ</w:t>
            </w:r>
          </w:p>
        </w:tc>
        <w:tc>
          <w:tcPr>
            <w:tcW w:w="4252" w:type="dxa"/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4B4A838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Финансовых затрат не требует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2C5E8D3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Будет обеспечена поддержка лучших инновационных практик, их методическое сопровождение, тиражирование их опыта в системе образования Краснозерского района Новосибирской области.</w:t>
            </w:r>
          </w:p>
        </w:tc>
      </w:tr>
      <w:tr w14:paraId="3820FFD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52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4C6FA34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Задача 5 Обеспечение здорового питания обучающихся образовательных организаций Краснозерского района Новосибирской области, соответствующего возрастным физиологическим потребностям.</w:t>
            </w:r>
          </w:p>
        </w:tc>
      </w:tr>
      <w:tr w14:paraId="4E65EC87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91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449C4B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5.1.   Развитие системы организации питания обучающихся в ОО Краснозерского района.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FA27FC0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и ответственные исполнители программных мероприятий: МКУ «Центр», ОО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799AF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21718,2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785F60F6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13883.5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1C0F33C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18874.5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295589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47121,5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3684EB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46676,3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5B6F7C5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Будет обеспечен 100%  охват обучающихся горячим питанием в ОО Краснозерского района к 2025 году.</w:t>
            </w:r>
          </w:p>
        </w:tc>
      </w:tr>
      <w:tr w14:paraId="09047BC6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7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1DFFD24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Задача 6: Развитие системы обеспечения безопасности функционирования и охраны здоровья в образовательных организациях  Краснозерского района Новосибирской области.</w:t>
            </w:r>
          </w:p>
        </w:tc>
      </w:tr>
      <w:tr w14:paraId="774F2D65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04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5973E52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6.1. Обеспечение безопасности функционирования образовательных организаций и охраны здоровья обучающихся.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6440755B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101F4DC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73F7B3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53CFED0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6103,8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1C30BB6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6650,00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652324B1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14C66EA0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Актуализация требований санитарных и строительных норм, пожарной безопасности и иных требований к инфраструктуре образовательных организаций с учетом современных условий технологической среды образования.</w:t>
            </w:r>
          </w:p>
        </w:tc>
      </w:tr>
      <w:tr w14:paraId="4F97CBE9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46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28FC8209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6.2. Организация отдыха, оздоровления и временной занятости  несовершеннолетних в каникулярное время.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388CFF7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7E1F39D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«Центр», ОО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1020F0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3321,0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C0FF934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3564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3EFD7C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3641,4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19C8F1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3371,9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6A07D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8530,3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7D1E410A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Будут обеспечены условия для отдыха, оздоровления и занятости детей и подростков в каникулярное время.</w:t>
            </w:r>
          </w:p>
        </w:tc>
      </w:tr>
      <w:tr w14:paraId="6496DCD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7" w:hRule="atLeast"/>
        </w:trPr>
        <w:tc>
          <w:tcPr>
            <w:tcW w:w="141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068C2865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Задача 7: Обеспечение функционирования системы персонифицированного финансирования дополнительного образования детей.</w:t>
            </w:r>
          </w:p>
        </w:tc>
      </w:tr>
      <w:tr w14:paraId="366B3D3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04" w:hRule="atLeast"/>
        </w:trPr>
        <w:tc>
          <w:tcPr>
            <w:tcW w:w="4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71EBB01E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7.1. Внедрение и обеспечение функционирования системы персонифицированного финансирования дополнительного образования детей.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C28C6B8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Разработчик </w:t>
            </w:r>
            <w:r>
              <w:rPr>
                <w:rFonts w:ascii="Times New Roman" w:hAnsi="Times New Roman" w:eastAsia="Andale Sans UI" w:cs="Times New Roman"/>
                <w:kern w:val="1"/>
                <w:lang w:eastAsia="en-US" w:bidi="en-US"/>
              </w:rPr>
              <w:t>МКУ «Управление   образования Краснозерского района»</w:t>
            </w:r>
            <w:r>
              <w:rPr>
                <w:rFonts w:ascii="Times New Roman" w:hAnsi="Times New Roman" w:cs="Times New Roman"/>
              </w:rPr>
              <w:t>,  ответственные исполнители программных мероприятий:</w:t>
            </w:r>
          </w:p>
          <w:p w14:paraId="68A0A2C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МКУ «Центр», ОО                         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3DFD16B4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28F2D93F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3570,2</w:t>
            </w:r>
          </w:p>
        </w:tc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57C1E98C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6666,3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3853ECA8">
            <w:r>
              <w:rPr>
                <w:rFonts w:ascii="Times New Roman" w:hAnsi="Times New Roman" w:cs="Times New Roman"/>
              </w:rPr>
              <w:t>9153,4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2127206F">
            <w:r>
              <w:rPr>
                <w:rFonts w:ascii="Times New Roman" w:hAnsi="Times New Roman" w:cs="Times New Roman"/>
              </w:rPr>
              <w:t>11511,5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19BD4133">
            <w:pPr>
              <w:pStyle w:val="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Предоставление детям сертификатов дополнительного образования с возможностью использования в рамках системы персонифицированного финансирования дополнительного образования детей .</w:t>
            </w:r>
          </w:p>
        </w:tc>
      </w:tr>
    </w:tbl>
    <w:p w14:paraId="5A5EC233">
      <w:pPr>
        <w:pStyle w:val="9"/>
        <w:rPr>
          <w:rFonts w:ascii="Times New Roman" w:hAnsi="Times New Roman" w:cs="Times New Roman"/>
        </w:rPr>
      </w:pPr>
    </w:p>
    <w:p w14:paraId="181A55EE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Применяемые сокращения:</w:t>
      </w:r>
    </w:p>
    <w:p w14:paraId="44F273AA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EB04DF5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ОВЗ - ограниченные возможности здоровья;</w:t>
      </w:r>
    </w:p>
    <w:p w14:paraId="7E3CAA33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ОО – образовательные организации Краснозерского района Новосибирской области;</w:t>
      </w:r>
    </w:p>
    <w:p w14:paraId="147C946B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ООУ – общеобразовательные учреждения Краснозерского района Новосибирской области;</w:t>
      </w:r>
    </w:p>
    <w:p w14:paraId="7DB4ED22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ДОУ -  дошкольные образовательные учреждения Краснозерского района Новосибирской области;</w:t>
      </w:r>
    </w:p>
    <w:p w14:paraId="7B7A0A70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МКУ «Управление образования Краснозерского района» - муниципальное казенное учреждение Краснозерского района Новосибирской области «Управление образования Краснозерского района» ;</w:t>
      </w:r>
    </w:p>
    <w:p w14:paraId="2F60C820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МКУ «Центр» - муниципальное  казенное учреждение Краснозерского района Новосибирской области «Центр бухгалтерского, материально-технического и информационного обеспечения» ;</w:t>
      </w:r>
    </w:p>
    <w:p w14:paraId="7D4A2BA4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МБУ ДО ДДТ – муниципальное   бюджетное учреждение дополнительного образования Краснозерского района Новосибирской области Дом детского творчества;</w:t>
      </w:r>
    </w:p>
    <w:p w14:paraId="260B6A04">
      <w:pPr>
        <w:pStyle w:val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МБУ ДЮСШ - муниципальное   бюджетное  учреждение дополнительного образования Краснозерского района     Новосибирской области «Детско-юношеская спортивная школа».</w:t>
      </w:r>
      <w:r>
        <w:rPr>
          <w:rFonts w:ascii="Times New Roman" w:hAnsi="Times New Roman" w:eastAsia="Andale Sans UI" w:cs="Times New Roman"/>
          <w:kern w:val="1"/>
          <w:lang w:eastAsia="en-US" w:bidi="en-US"/>
        </w:rPr>
        <w:t xml:space="preserve"> </w:t>
      </w:r>
    </w:p>
    <w:p w14:paraId="5CCFFA29">
      <w:pPr>
        <w:pStyle w:val="9"/>
        <w:jc w:val="center"/>
        <w:rPr>
          <w:rFonts w:ascii="Times New Roman" w:hAnsi="Times New Roman" w:eastAsia="Andale Sans UI" w:cs="Times New Roman"/>
          <w:kern w:val="1"/>
          <w:sz w:val="28"/>
          <w:szCs w:val="28"/>
          <w:lang w:eastAsia="en-US" w:bidi="en-US"/>
        </w:rPr>
      </w:pPr>
      <w:bookmarkStart w:id="0" w:name="P522"/>
      <w:bookmarkEnd w:id="0"/>
    </w:p>
    <w:p w14:paraId="6FB2D71C">
      <w:pPr>
        <w:pStyle w:val="9"/>
        <w:jc w:val="center"/>
        <w:rPr>
          <w:rFonts w:ascii="Times New Roman" w:hAnsi="Times New Roman" w:eastAsia="Andale Sans UI" w:cs="Times New Roman"/>
          <w:kern w:val="1"/>
          <w:sz w:val="28"/>
          <w:szCs w:val="28"/>
          <w:lang w:eastAsia="en-US" w:bidi="en-US"/>
        </w:rPr>
      </w:pPr>
      <w:r>
        <w:rPr>
          <w:rFonts w:ascii="Times New Roman" w:hAnsi="Times New Roman" w:eastAsia="Andale Sans UI" w:cs="Tahoma"/>
          <w:kern w:val="1"/>
          <w:sz w:val="28"/>
          <w:szCs w:val="28"/>
          <w:lang w:eastAsia="en-US" w:bidi="en-US"/>
        </w:rPr>
        <w:t>5. СВОДНЫЕ ФИНАНСОВЫЕ ЗАТРАТЫ</w:t>
      </w:r>
    </w:p>
    <w:p w14:paraId="5A1DF726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jc w:val="center"/>
        <w:textAlignment w:val="baseline"/>
        <w:rPr>
          <w:rFonts w:ascii="Times New Roman" w:hAnsi="Times New Roman" w:eastAsia="Andale Sans UI" w:cs="Tahoma"/>
          <w:kern w:val="1"/>
          <w:sz w:val="28"/>
          <w:szCs w:val="28"/>
          <w:lang w:eastAsia="en-US" w:bidi="en-US"/>
        </w:rPr>
      </w:pPr>
      <w:r>
        <w:rPr>
          <w:rFonts w:ascii="Times New Roman" w:hAnsi="Times New Roman" w:eastAsia="Andale Sans UI" w:cs="Tahoma"/>
          <w:kern w:val="1"/>
          <w:sz w:val="28"/>
          <w:szCs w:val="28"/>
          <w:lang w:eastAsia="en-US" w:bidi="en-US"/>
        </w:rPr>
        <w:t xml:space="preserve">муниципальной программы </w:t>
      </w:r>
    </w:p>
    <w:p w14:paraId="4DE832AC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jc w:val="center"/>
        <w:textAlignment w:val="baseline"/>
        <w:rPr>
          <w:rFonts w:ascii="Times New Roman" w:hAnsi="Times New Roman" w:eastAsia="Andale Sans UI" w:cs="Tahoma"/>
          <w:kern w:val="1"/>
          <w:sz w:val="28"/>
          <w:szCs w:val="28"/>
          <w:lang w:eastAsia="en-US" w:bidi="en-US"/>
        </w:rPr>
      </w:pPr>
      <w:r>
        <w:rPr>
          <w:rFonts w:ascii="Times New Roman" w:hAnsi="Times New Roman" w:eastAsia="Andale Sans UI" w:cs="Tahoma"/>
          <w:kern w:val="1"/>
          <w:sz w:val="28"/>
          <w:szCs w:val="28"/>
          <w:lang w:val="en-US" w:eastAsia="en-US" w:bidi="en-US"/>
        </w:rPr>
        <w:t> </w:t>
      </w:r>
      <w:r>
        <w:rPr>
          <w:rFonts w:ascii="Times New Roman" w:hAnsi="Times New Roman" w:eastAsia="Andale Sans UI" w:cs="Tahoma"/>
          <w:kern w:val="1"/>
          <w:sz w:val="28"/>
          <w:szCs w:val="28"/>
          <w:lang w:eastAsia="en-US" w:bidi="en-US"/>
        </w:rPr>
        <w:t>Краснозерского района Новосибирской области</w:t>
      </w:r>
    </w:p>
    <w:p w14:paraId="6549EECD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jc w:val="center"/>
        <w:textAlignment w:val="baseline"/>
        <w:rPr>
          <w:rFonts w:ascii="Times New Roman" w:hAnsi="Times New Roman" w:eastAsia="Andale Sans UI" w:cs="Times New Roman"/>
          <w:kern w:val="1"/>
          <w:sz w:val="28"/>
          <w:szCs w:val="28"/>
          <w:lang w:eastAsia="en-US" w:bidi="en-US"/>
        </w:rPr>
      </w:pPr>
      <w:r>
        <w:rPr>
          <w:rFonts w:ascii="Times New Roman" w:hAnsi="Times New Roman" w:eastAsia="Andale Sans UI" w:cs="Times New Roman"/>
          <w:kern w:val="1"/>
          <w:sz w:val="28"/>
          <w:szCs w:val="28"/>
          <w:lang w:eastAsia="en-US" w:bidi="en-US"/>
        </w:rPr>
        <w:t>«Развитие образования в Краснозерском районе</w:t>
      </w:r>
    </w:p>
    <w:p w14:paraId="6990B340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jc w:val="center"/>
        <w:textAlignment w:val="baseline"/>
        <w:rPr>
          <w:rFonts w:ascii="Times New Roman" w:hAnsi="Times New Roman" w:eastAsia="Andale Sans UI" w:cs="Times New Roman"/>
          <w:kern w:val="1"/>
          <w:sz w:val="28"/>
          <w:szCs w:val="28"/>
          <w:lang w:eastAsia="en-US" w:bidi="en-US"/>
        </w:rPr>
      </w:pPr>
      <w:r>
        <w:rPr>
          <w:rFonts w:ascii="Times New Roman" w:hAnsi="Times New Roman" w:eastAsia="Andale Sans UI" w:cs="Times New Roman"/>
          <w:kern w:val="1"/>
          <w:sz w:val="28"/>
          <w:szCs w:val="28"/>
          <w:lang w:eastAsia="en-US" w:bidi="en-US"/>
        </w:rPr>
        <w:t>Новосибирской области на 2021-2025 годы»</w:t>
      </w:r>
    </w:p>
    <w:p w14:paraId="53748045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jc w:val="center"/>
        <w:textAlignment w:val="baseline"/>
        <w:rPr>
          <w:rFonts w:ascii="Times New Roman" w:hAnsi="Times New Roman" w:eastAsia="Andale Sans UI" w:cs="Tahoma"/>
          <w:kern w:val="1"/>
          <w:lang w:eastAsia="en-US" w:bidi="en-US"/>
        </w:rPr>
      </w:pPr>
      <w:r>
        <w:rPr>
          <w:rFonts w:ascii="Times New Roman" w:hAnsi="Times New Roman" w:eastAsia="Andale Sans UI" w:cs="Tahoma"/>
          <w:kern w:val="1"/>
          <w:lang w:val="en-US" w:eastAsia="en-US" w:bidi="en-US"/>
        </w:rPr>
        <w:t> </w:t>
      </w:r>
    </w:p>
    <w:tbl>
      <w:tblPr>
        <w:tblStyle w:val="3"/>
        <w:tblW w:w="1316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1"/>
        <w:gridCol w:w="1817"/>
        <w:gridCol w:w="1539"/>
        <w:gridCol w:w="950"/>
        <w:gridCol w:w="941"/>
        <w:gridCol w:w="1292"/>
        <w:gridCol w:w="1412"/>
        <w:gridCol w:w="2738"/>
      </w:tblGrid>
      <w:tr w14:paraId="5AD3F8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" w:hRule="atLeast"/>
        </w:trPr>
        <w:tc>
          <w:tcPr>
            <w:tcW w:w="247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7D807B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Источники и объемы расходов по программе</w:t>
            </w:r>
          </w:p>
        </w:tc>
        <w:tc>
          <w:tcPr>
            <w:tcW w:w="181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8F644C1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 </w:t>
            </w:r>
          </w:p>
        </w:tc>
        <w:tc>
          <w:tcPr>
            <w:tcW w:w="2489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E9B5182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 </w:t>
            </w:r>
          </w:p>
        </w:tc>
        <w:tc>
          <w:tcPr>
            <w:tcW w:w="6383" w:type="dxa"/>
            <w:gridSpan w:val="4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331954E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Финансовые затраты (в ценах 2022г.), тыс. руб.</w:t>
            </w:r>
          </w:p>
        </w:tc>
      </w:tr>
      <w:tr w14:paraId="24EA4F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247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096655D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817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431D92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всего</w:t>
            </w:r>
          </w:p>
        </w:tc>
        <w:tc>
          <w:tcPr>
            <w:tcW w:w="2489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D44A95A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В том числе по годам </w:t>
            </w:r>
          </w:p>
        </w:tc>
        <w:tc>
          <w:tcPr>
            <w:tcW w:w="3645" w:type="dxa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76E2CCB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 годам реализации программы</w:t>
            </w:r>
          </w:p>
        </w:tc>
        <w:tc>
          <w:tcPr>
            <w:tcW w:w="27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B8FE75">
            <w:pPr>
              <w:widowControl/>
              <w:rPr>
                <w:rFonts w:ascii="Calibri" w:hAnsi="Calibri" w:eastAsia="Times New Roman" w:cs="Arial CYR"/>
                <w:color w:val="auto"/>
                <w:sz w:val="22"/>
                <w:szCs w:val="22"/>
              </w:rPr>
            </w:pPr>
            <w:r>
              <w:rPr>
                <w:rFonts w:ascii="Calibri" w:hAnsi="Calibri" w:eastAsia="Times New Roman" w:cs="Arial CYR"/>
                <w:color w:val="auto"/>
                <w:sz w:val="22"/>
                <w:szCs w:val="22"/>
              </w:rPr>
              <w:t> </w:t>
            </w:r>
          </w:p>
        </w:tc>
      </w:tr>
      <w:tr w14:paraId="45D140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47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A2B7A76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817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5A2C793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39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1CFADF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2021 год</w:t>
            </w:r>
          </w:p>
        </w:tc>
        <w:tc>
          <w:tcPr>
            <w:tcW w:w="189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DED708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2022год</w:t>
            </w:r>
          </w:p>
        </w:tc>
        <w:tc>
          <w:tcPr>
            <w:tcW w:w="129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vAlign w:val="center"/>
          </w:tcPr>
          <w:p w14:paraId="177E500B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2023год</w:t>
            </w:r>
          </w:p>
        </w:tc>
        <w:tc>
          <w:tcPr>
            <w:tcW w:w="141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 w:color="auto" w:fill="auto"/>
            <w:vAlign w:val="center"/>
          </w:tcPr>
          <w:p w14:paraId="3610238D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2024год</w:t>
            </w: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5516BD55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 </w:t>
            </w:r>
          </w:p>
        </w:tc>
      </w:tr>
      <w:tr w14:paraId="3E4713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47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2717F0A6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817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A277415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3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D756020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891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93EF4E7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29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37C7DE3D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vAlign w:val="center"/>
          </w:tcPr>
          <w:p w14:paraId="5C175CE8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27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BE9AC5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2025год</w:t>
            </w:r>
          </w:p>
        </w:tc>
      </w:tr>
      <w:tr w14:paraId="28AA1F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24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2C02D8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</w:t>
            </w:r>
          </w:p>
        </w:tc>
        <w:tc>
          <w:tcPr>
            <w:tcW w:w="181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F9C748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8530E8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3</w:t>
            </w:r>
          </w:p>
        </w:tc>
        <w:tc>
          <w:tcPr>
            <w:tcW w:w="189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178A14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4</w:t>
            </w:r>
          </w:p>
        </w:tc>
        <w:tc>
          <w:tcPr>
            <w:tcW w:w="1292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E2C2AD5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5</w:t>
            </w:r>
          </w:p>
        </w:tc>
        <w:tc>
          <w:tcPr>
            <w:tcW w:w="1412" w:type="dxa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 w:color="auto" w:fill="auto"/>
            <w:vAlign w:val="center"/>
          </w:tcPr>
          <w:p w14:paraId="14B9AE35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6</w:t>
            </w:r>
          </w:p>
        </w:tc>
        <w:tc>
          <w:tcPr>
            <w:tcW w:w="27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79B703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7</w:t>
            </w:r>
          </w:p>
        </w:tc>
      </w:tr>
      <w:tr w14:paraId="011CDE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2471" w:type="dxa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04991581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Всего финансовых затрат,</w:t>
            </w:r>
          </w:p>
        </w:tc>
        <w:tc>
          <w:tcPr>
            <w:tcW w:w="1817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57B349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5988438,2</w:t>
            </w:r>
          </w:p>
        </w:tc>
        <w:tc>
          <w:tcPr>
            <w:tcW w:w="1539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35327B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900260,7</w:t>
            </w:r>
          </w:p>
        </w:tc>
        <w:tc>
          <w:tcPr>
            <w:tcW w:w="189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D56D83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1066152,4</w:t>
            </w:r>
          </w:p>
        </w:tc>
        <w:tc>
          <w:tcPr>
            <w:tcW w:w="129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vAlign w:val="center"/>
          </w:tcPr>
          <w:p w14:paraId="60D4B1B5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1177292,3</w:t>
            </w:r>
          </w:p>
        </w:tc>
        <w:tc>
          <w:tcPr>
            <w:tcW w:w="1412" w:type="dxa"/>
            <w:vMerge w:val="restart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 w14:paraId="1E7B0995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1376944,2</w:t>
            </w:r>
          </w:p>
        </w:tc>
        <w:tc>
          <w:tcPr>
            <w:tcW w:w="2738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 w:color="auto" w:fill="auto"/>
            <w:vAlign w:val="center"/>
          </w:tcPr>
          <w:p w14:paraId="70C8AA4F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1467788,6</w:t>
            </w:r>
          </w:p>
        </w:tc>
      </w:tr>
      <w:tr w14:paraId="6A78E8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" w:hRule="atLeast"/>
        </w:trPr>
        <w:tc>
          <w:tcPr>
            <w:tcW w:w="24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6C07AB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 том числе за счет:</w:t>
            </w:r>
          </w:p>
        </w:tc>
        <w:tc>
          <w:tcPr>
            <w:tcW w:w="1817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6170ECC2">
            <w:pPr>
              <w:widowControl/>
              <w:rPr>
                <w:rFonts w:ascii="Times New Roman" w:hAnsi="Times New Roman" w:eastAsia="Times New Roman" w:cs="Times New Roman"/>
                <w:highlight w:val="yellow"/>
              </w:rPr>
            </w:pPr>
          </w:p>
        </w:tc>
        <w:tc>
          <w:tcPr>
            <w:tcW w:w="153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0936B37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891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403212DF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29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4E930DA6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nil"/>
              <w:bottom w:val="nil"/>
              <w:right w:val="single" w:color="auto" w:sz="8" w:space="0"/>
            </w:tcBorders>
            <w:vAlign w:val="center"/>
          </w:tcPr>
          <w:p w14:paraId="5BAF5481">
            <w:pPr>
              <w:widowControl/>
              <w:rPr>
                <w:rFonts w:ascii="Times New Roman" w:hAnsi="Times New Roman" w:eastAsia="Times New Roman" w:cs="Times New Roman"/>
                <w:highlight w:val="yellow"/>
              </w:rPr>
            </w:pPr>
          </w:p>
        </w:tc>
        <w:tc>
          <w:tcPr>
            <w:tcW w:w="2738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vAlign w:val="center"/>
          </w:tcPr>
          <w:p w14:paraId="6707E737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</w:tr>
      <w:tr w14:paraId="1792D1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24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9851C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средств федерального  бюджета</w:t>
            </w:r>
          </w:p>
        </w:tc>
        <w:tc>
          <w:tcPr>
            <w:tcW w:w="181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E220D6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328950,6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A9FE2B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47476</w:t>
            </w:r>
          </w:p>
        </w:tc>
        <w:tc>
          <w:tcPr>
            <w:tcW w:w="189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F2A163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50092</w:t>
            </w:r>
          </w:p>
        </w:tc>
        <w:tc>
          <w:tcPr>
            <w:tcW w:w="1292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0A9BA82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45580,7</w:t>
            </w:r>
          </w:p>
        </w:tc>
        <w:tc>
          <w:tcPr>
            <w:tcW w:w="1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3B1EDC75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74397,8</w:t>
            </w:r>
          </w:p>
        </w:tc>
        <w:tc>
          <w:tcPr>
            <w:tcW w:w="27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1646A9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111404,1</w:t>
            </w:r>
          </w:p>
        </w:tc>
      </w:tr>
      <w:tr w14:paraId="63B903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24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5455F0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средств областного бюджета НСО</w:t>
            </w:r>
          </w:p>
        </w:tc>
        <w:tc>
          <w:tcPr>
            <w:tcW w:w="181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31A4DB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4239005,7</w:t>
            </w:r>
          </w:p>
          <w:p w14:paraId="2BE508F8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BCAC46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470671,9</w:t>
            </w:r>
          </w:p>
        </w:tc>
        <w:tc>
          <w:tcPr>
            <w:tcW w:w="189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094F23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796396,1</w:t>
            </w:r>
          </w:p>
        </w:tc>
        <w:tc>
          <w:tcPr>
            <w:tcW w:w="1292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021599F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857979,9</w:t>
            </w:r>
          </w:p>
        </w:tc>
        <w:tc>
          <w:tcPr>
            <w:tcW w:w="14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622974E5">
            <w:pPr>
              <w:widowControl/>
              <w:jc w:val="right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1038262,8</w:t>
            </w:r>
          </w:p>
        </w:tc>
        <w:tc>
          <w:tcPr>
            <w:tcW w:w="27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2F1A85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1075695</w:t>
            </w:r>
          </w:p>
        </w:tc>
      </w:tr>
      <w:tr w14:paraId="26E6BB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24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558947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средств местного бюджета Краснозерского района</w:t>
            </w:r>
          </w:p>
        </w:tc>
        <w:tc>
          <w:tcPr>
            <w:tcW w:w="181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617BC2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1316619,8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282EB9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359005,1</w:t>
            </w:r>
          </w:p>
        </w:tc>
        <w:tc>
          <w:tcPr>
            <w:tcW w:w="189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DCE50B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203356,6</w:t>
            </w:r>
          </w:p>
        </w:tc>
        <w:tc>
          <w:tcPr>
            <w:tcW w:w="1292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6022932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246894,9</w:t>
            </w:r>
          </w:p>
        </w:tc>
        <w:tc>
          <w:tcPr>
            <w:tcW w:w="14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6A770241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246334,4</w:t>
            </w:r>
          </w:p>
        </w:tc>
        <w:tc>
          <w:tcPr>
            <w:tcW w:w="27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A288F0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261028,8</w:t>
            </w:r>
          </w:p>
        </w:tc>
      </w:tr>
      <w:tr w14:paraId="081B28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</w:trPr>
        <w:tc>
          <w:tcPr>
            <w:tcW w:w="2471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979C27">
            <w:pPr>
              <w:widowControl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средств внебюджетных источников</w:t>
            </w:r>
          </w:p>
        </w:tc>
        <w:tc>
          <w:tcPr>
            <w:tcW w:w="1817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0C1921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103862,1</w:t>
            </w:r>
          </w:p>
        </w:tc>
        <w:tc>
          <w:tcPr>
            <w:tcW w:w="1539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F64442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23107,7</w:t>
            </w:r>
          </w:p>
        </w:tc>
        <w:tc>
          <w:tcPr>
            <w:tcW w:w="189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F0447A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16307,7</w:t>
            </w:r>
          </w:p>
        </w:tc>
        <w:tc>
          <w:tcPr>
            <w:tcW w:w="129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vAlign w:val="center"/>
          </w:tcPr>
          <w:p w14:paraId="1BEEA0F2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26836,8</w:t>
            </w:r>
          </w:p>
        </w:tc>
        <w:tc>
          <w:tcPr>
            <w:tcW w:w="141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 w:color="auto" w:fill="auto"/>
            <w:vAlign w:val="center"/>
          </w:tcPr>
          <w:p w14:paraId="5EE3DA18">
            <w:pPr>
              <w:widowControl/>
              <w:jc w:val="center"/>
              <w:rPr>
                <w:rFonts w:ascii="Times New Roman" w:hAnsi="Times New Roman" w:eastAsia="Times New Roman" w:cs="Times New Roman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highlight w:val="yellow"/>
              </w:rPr>
              <w:t>17949,2</w:t>
            </w:r>
          </w:p>
        </w:tc>
        <w:tc>
          <w:tcPr>
            <w:tcW w:w="2738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2603E3">
            <w:pPr>
              <w:widowControl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19660,7</w:t>
            </w:r>
          </w:p>
        </w:tc>
      </w:tr>
      <w:tr w14:paraId="29C46E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471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4D56FF7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817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3B1CE593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3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0FF7598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891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08857ED4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29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348763EA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vAlign w:val="center"/>
          </w:tcPr>
          <w:p w14:paraId="1474FB6E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2738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72D40A80">
            <w:pPr>
              <w:widowControl/>
              <w:rPr>
                <w:rFonts w:ascii="Times New Roman" w:hAnsi="Times New Roman" w:eastAsia="Times New Roman" w:cs="Times New Roman"/>
              </w:rPr>
            </w:pPr>
          </w:p>
        </w:tc>
      </w:tr>
    </w:tbl>
    <w:p w14:paraId="0DA96851">
      <w:pPr>
        <w:ind w:firstLine="709"/>
        <w:jc w:val="both"/>
        <w:rPr>
          <w:rFonts w:ascii="Times New Roman" w:hAnsi="Times New Roman" w:cs="Times New Roman"/>
          <w:lang w:eastAsia="zh-CN"/>
        </w:rPr>
      </w:pPr>
    </w:p>
    <w:p w14:paraId="47B15B23">
      <w:pPr>
        <w:ind w:firstLine="709"/>
        <w:jc w:val="both"/>
        <w:rPr>
          <w:rFonts w:ascii="Times New Roman" w:hAnsi="Times New Roman" w:cs="Times New Roman"/>
          <w:lang w:eastAsia="zh-CN"/>
        </w:rPr>
      </w:pPr>
    </w:p>
    <w:p w14:paraId="571C5125">
      <w:pPr>
        <w:jc w:val="both"/>
        <w:rPr>
          <w:rFonts w:ascii="Times New Roman" w:hAnsi="Times New Roman" w:cs="Times New Roman"/>
          <w:lang w:eastAsia="zh-CN"/>
        </w:rPr>
      </w:pPr>
    </w:p>
    <w:p w14:paraId="7DB89701">
      <w:pPr>
        <w:jc w:val="both"/>
        <w:rPr>
          <w:rFonts w:ascii="Times New Roman" w:hAnsi="Times New Roman" w:cs="Times New Roman"/>
          <w:lang w:eastAsia="zh-CN"/>
        </w:rPr>
      </w:pPr>
    </w:p>
    <w:p w14:paraId="61F0B6ED">
      <w:pPr>
        <w:jc w:val="both"/>
        <w:rPr>
          <w:rFonts w:ascii="Times New Roman" w:hAnsi="Times New Roman" w:cs="Times New Roman"/>
          <w:lang w:eastAsia="zh-CN"/>
        </w:rPr>
      </w:pPr>
    </w:p>
    <w:p w14:paraId="152E8D58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6. Ожидаемые результаты реализации муниципальной программы</w:t>
      </w:r>
    </w:p>
    <w:p w14:paraId="5705EBE2">
      <w:pPr>
        <w:ind w:firstLine="709"/>
        <w:jc w:val="center"/>
        <w:rPr>
          <w:rFonts w:ascii="Times New Roman" w:hAnsi="Times New Roman" w:cs="Times New Roman"/>
          <w:b/>
          <w:bCs/>
        </w:rPr>
      </w:pPr>
    </w:p>
    <w:p w14:paraId="182CC5BF">
      <w:pPr>
        <w:tabs>
          <w:tab w:val="left" w:pos="591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 результате реализации Программы к концу 2025 года ожидается:</w:t>
      </w:r>
    </w:p>
    <w:p w14:paraId="6E700DFD">
      <w:pPr>
        <w:tabs>
          <w:tab w:val="left" w:pos="132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1.Охват детей программами дошкольного образования составит 71%.</w:t>
      </w:r>
    </w:p>
    <w:p w14:paraId="444E5F68">
      <w:pPr>
        <w:tabs>
          <w:tab w:val="left" w:pos="132"/>
        </w:tabs>
        <w:ind w:left="132"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Отношение численности детей в возрасте от 3 до 7 лет, получающих дошкольное образование в текущем году, к сумме </w:t>
      </w:r>
      <w:r>
        <w:rPr>
          <w:rFonts w:ascii="Times New Roman" w:hAnsi="Times New Roman" w:eastAsia="Calibri" w:cs="Times New Roman"/>
        </w:rPr>
        <w:t>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образования, составит 100%.</w:t>
      </w:r>
    </w:p>
    <w:p w14:paraId="54BABE49">
      <w:pPr>
        <w:tabs>
          <w:tab w:val="left" w:pos="346"/>
          <w:tab w:val="left" w:pos="2396"/>
          <w:tab w:val="left" w:pos="4138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3. Все выпускники общеобразовательных учреждений, допущенные к ЕГЭ,  получат аттестат о среднем общем образовании.</w:t>
      </w:r>
    </w:p>
    <w:p w14:paraId="52FF9001">
      <w:pPr>
        <w:tabs>
          <w:tab w:val="left" w:pos="293"/>
          <w:tab w:val="left" w:pos="2396"/>
          <w:tab w:val="left" w:pos="4138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4. Удельный вес численности учителей в возрасте до 35 лет в общей численности учителей общеобразовательных учреждений, составит 20%.</w:t>
      </w:r>
    </w:p>
    <w:p w14:paraId="47A4EDD0">
      <w:pPr>
        <w:tabs>
          <w:tab w:val="left" w:pos="293"/>
          <w:tab w:val="left" w:pos="2396"/>
          <w:tab w:val="left" w:pos="4138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5. Удельный вес численности руководителей образовательных организаций, прошедших в течение последних трех лет повышение квалификации или профессиональную переподготовку, в общей численности руководителей  образовательных организаций, составит 100%.</w:t>
      </w:r>
    </w:p>
    <w:p w14:paraId="6F6139C7">
      <w:pPr>
        <w:tabs>
          <w:tab w:val="left" w:pos="293"/>
          <w:tab w:val="left" w:pos="2396"/>
          <w:tab w:val="left" w:pos="4138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   6.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eastAsia="Calibri" w:cs="Times New Roman"/>
        </w:rPr>
        <w:t>Удельный вес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 составит 55%</w:t>
      </w:r>
    </w:p>
    <w:p w14:paraId="229516BE">
      <w:pPr>
        <w:tabs>
          <w:tab w:val="left" w:pos="205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7. Удельный вес численности</w:t>
      </w:r>
      <w:r>
        <w:rPr>
          <w:rFonts w:ascii="Times New Roman" w:hAnsi="Times New Roman"/>
        </w:rPr>
        <w:t xml:space="preserve"> обучающихся  </w:t>
      </w:r>
      <w:r>
        <w:rPr>
          <w:rFonts w:ascii="Times New Roman" w:hAnsi="Times New Roman" w:cs="Times New Roman"/>
        </w:rPr>
        <w:t>общеобразовательных учреждений</w:t>
      </w:r>
      <w:r>
        <w:rPr>
          <w:rFonts w:ascii="Times New Roman" w:hAnsi="Times New Roman"/>
        </w:rPr>
        <w:t>,  которым предоставлена возможность обучаться в  соответствии с основными требованиями (с учетом федеральных образовательных стандартов), в общей численности обучающихся, составит 100%.</w:t>
      </w:r>
    </w:p>
    <w:p w14:paraId="1B42A43E">
      <w:pPr>
        <w:tabs>
          <w:tab w:val="left" w:pos="205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  8. </w:t>
      </w:r>
      <w:r>
        <w:rPr>
          <w:rFonts w:ascii="Times New Roman" w:hAnsi="Times New Roman"/>
          <w:lang w:eastAsia="en-US"/>
        </w:rPr>
        <w:t xml:space="preserve"> Доля детей в возрасте 5-18 лет, охваченных  дополнительным образованием, составит к 2025 году не менее 80%.</w:t>
      </w:r>
    </w:p>
    <w:p w14:paraId="0CCBB97F">
      <w:pPr>
        <w:tabs>
          <w:tab w:val="left" w:pos="205"/>
        </w:tabs>
        <w:ind w:right="13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/>
          <w:lang w:eastAsia="en-US"/>
        </w:rPr>
        <w:t xml:space="preserve">  9. </w:t>
      </w:r>
      <w:r>
        <w:rPr>
          <w:rFonts w:ascii="Times New Roman" w:hAnsi="Times New Roman" w:cs="Times New Roman"/>
        </w:rPr>
        <w:t>Будет обеспечен 100%  охват обучающихся горячим питанием в общеобразовательных организациях  Краснозерского района.</w:t>
      </w:r>
    </w:p>
    <w:p w14:paraId="5B11B9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10.Охват детей персонифицированным финансированием составит 25%</w:t>
      </w:r>
    </w:p>
    <w:p w14:paraId="12BBE680">
      <w:pPr>
        <w:ind w:left="785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7.Система контроля за реализацией программы</w:t>
      </w:r>
    </w:p>
    <w:p w14:paraId="59258D10">
      <w:pPr>
        <w:rPr>
          <w:rFonts w:ascii="Times New Roman" w:hAnsi="Times New Roman" w:cs="Times New Roman"/>
          <w:b/>
        </w:rPr>
      </w:pPr>
    </w:p>
    <w:p w14:paraId="4F436A5B">
      <w:pPr>
        <w:pStyle w:val="1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реализацией муниципальной программы осуществляется администрацией Краснозерского района Новосибирской области. </w:t>
      </w:r>
    </w:p>
    <w:p w14:paraId="5CC6833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Муниципальное казенное учреждение Краснозерского района Новосибирской области «Управление образования Краснозерского района» - отвечает за реализацию муниципальной программы, осуществляет текущее управление за реализацией программных мероприятий, целевое и эффективное использование средств, выявляет отклонения от предусмотренных результатов, устанавливает причины и определяет меры по устранению отклонений, а так же за своевременный сбор отчетности по проведенным мероприятиям.</w:t>
      </w:r>
    </w:p>
    <w:p w14:paraId="2801674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Исполнители муниципальной программы – отвечают за реализацию мероприятий муниципальной программы, а так же за предоставление в муниципальное казенное учреждение Краснозерского района Новосибирской области «Управление образования Краснозерского района» своевременной отчетности по проведенным мероприятиям.</w:t>
      </w:r>
    </w:p>
    <w:p w14:paraId="6467D277">
      <w:pPr>
        <w:pStyle w:val="1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Критерием социально-экономической эффективности Программы будет являться степень достижения её стратегической цели при заданных затратах. Эффективность реализации Программы будет обеспечена достижением целевых показателей, четкой организации и контроля за полнотой, и своевременностью исполнения мероприятий Программы.</w:t>
      </w:r>
    </w:p>
    <w:sectPr>
      <w:pgSz w:w="16838" w:h="11906" w:orient="landscape"/>
      <w:pgMar w:top="1276" w:right="1134" w:bottom="851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ndale Sans UI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CYR">
    <w:altName w:val="Arial"/>
    <w:panose1 w:val="020B0604020202020204"/>
    <w:charset w:val="CC"/>
    <w:family w:val="swiss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7D56F8"/>
    <w:multiLevelType w:val="multilevel"/>
    <w:tmpl w:val="017D56F8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BE4A93"/>
    <w:multiLevelType w:val="multilevel"/>
    <w:tmpl w:val="33BE4A93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8A403A"/>
    <w:multiLevelType w:val="multilevel"/>
    <w:tmpl w:val="778A403A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4648"/>
    <w:rsid w:val="000035EC"/>
    <w:rsid w:val="000204AD"/>
    <w:rsid w:val="000251B5"/>
    <w:rsid w:val="00033D3F"/>
    <w:rsid w:val="000362E5"/>
    <w:rsid w:val="00046F42"/>
    <w:rsid w:val="00047892"/>
    <w:rsid w:val="000539CB"/>
    <w:rsid w:val="000578B3"/>
    <w:rsid w:val="0007514C"/>
    <w:rsid w:val="00085A67"/>
    <w:rsid w:val="000A3735"/>
    <w:rsid w:val="000C17E5"/>
    <w:rsid w:val="000C3697"/>
    <w:rsid w:val="0016559F"/>
    <w:rsid w:val="00174BB0"/>
    <w:rsid w:val="0017593B"/>
    <w:rsid w:val="001B6EE2"/>
    <w:rsid w:val="001B7942"/>
    <w:rsid w:val="001C36E8"/>
    <w:rsid w:val="001D084B"/>
    <w:rsid w:val="001D620B"/>
    <w:rsid w:val="001E7153"/>
    <w:rsid w:val="001F5A9C"/>
    <w:rsid w:val="00211595"/>
    <w:rsid w:val="0021181F"/>
    <w:rsid w:val="00223EF0"/>
    <w:rsid w:val="00241073"/>
    <w:rsid w:val="00244927"/>
    <w:rsid w:val="002459D2"/>
    <w:rsid w:val="002515A1"/>
    <w:rsid w:val="00270B98"/>
    <w:rsid w:val="00275702"/>
    <w:rsid w:val="002812F8"/>
    <w:rsid w:val="00296821"/>
    <w:rsid w:val="00297D4A"/>
    <w:rsid w:val="002B392A"/>
    <w:rsid w:val="002C6985"/>
    <w:rsid w:val="002E1EA8"/>
    <w:rsid w:val="002E687F"/>
    <w:rsid w:val="002F51A7"/>
    <w:rsid w:val="003059FC"/>
    <w:rsid w:val="00314C62"/>
    <w:rsid w:val="00321772"/>
    <w:rsid w:val="0032454F"/>
    <w:rsid w:val="00344B51"/>
    <w:rsid w:val="00361411"/>
    <w:rsid w:val="003734FD"/>
    <w:rsid w:val="003831F0"/>
    <w:rsid w:val="00390B7D"/>
    <w:rsid w:val="0039128C"/>
    <w:rsid w:val="00396342"/>
    <w:rsid w:val="00397865"/>
    <w:rsid w:val="003D503A"/>
    <w:rsid w:val="003E4CB9"/>
    <w:rsid w:val="003F29FE"/>
    <w:rsid w:val="003F42B3"/>
    <w:rsid w:val="003F6B16"/>
    <w:rsid w:val="0043228B"/>
    <w:rsid w:val="00485E02"/>
    <w:rsid w:val="0049452C"/>
    <w:rsid w:val="0049509A"/>
    <w:rsid w:val="00496C27"/>
    <w:rsid w:val="004A34E6"/>
    <w:rsid w:val="004A3931"/>
    <w:rsid w:val="004D68D4"/>
    <w:rsid w:val="004F316C"/>
    <w:rsid w:val="004F58C5"/>
    <w:rsid w:val="00502C33"/>
    <w:rsid w:val="00503EDC"/>
    <w:rsid w:val="00510D7E"/>
    <w:rsid w:val="00526469"/>
    <w:rsid w:val="0053441A"/>
    <w:rsid w:val="00546867"/>
    <w:rsid w:val="00551921"/>
    <w:rsid w:val="005542E5"/>
    <w:rsid w:val="005567E2"/>
    <w:rsid w:val="00560B69"/>
    <w:rsid w:val="005741F2"/>
    <w:rsid w:val="00577F57"/>
    <w:rsid w:val="005917C8"/>
    <w:rsid w:val="005B7D7D"/>
    <w:rsid w:val="005C2689"/>
    <w:rsid w:val="005E0708"/>
    <w:rsid w:val="00601DAD"/>
    <w:rsid w:val="00611F22"/>
    <w:rsid w:val="006160B4"/>
    <w:rsid w:val="00635F9E"/>
    <w:rsid w:val="00636512"/>
    <w:rsid w:val="00665B33"/>
    <w:rsid w:val="00670308"/>
    <w:rsid w:val="0067454E"/>
    <w:rsid w:val="0067490E"/>
    <w:rsid w:val="006757EC"/>
    <w:rsid w:val="0068311D"/>
    <w:rsid w:val="00692636"/>
    <w:rsid w:val="00695DD4"/>
    <w:rsid w:val="006B3B27"/>
    <w:rsid w:val="006C7957"/>
    <w:rsid w:val="006E3DB7"/>
    <w:rsid w:val="006E4648"/>
    <w:rsid w:val="006F3D6D"/>
    <w:rsid w:val="00700B35"/>
    <w:rsid w:val="00701EDE"/>
    <w:rsid w:val="00705C5E"/>
    <w:rsid w:val="007106C1"/>
    <w:rsid w:val="00712021"/>
    <w:rsid w:val="00714986"/>
    <w:rsid w:val="007162B0"/>
    <w:rsid w:val="00732725"/>
    <w:rsid w:val="007438F7"/>
    <w:rsid w:val="0074667C"/>
    <w:rsid w:val="00752DE4"/>
    <w:rsid w:val="00760352"/>
    <w:rsid w:val="00761181"/>
    <w:rsid w:val="0076580F"/>
    <w:rsid w:val="00776A05"/>
    <w:rsid w:val="00780344"/>
    <w:rsid w:val="007A0547"/>
    <w:rsid w:val="007B6787"/>
    <w:rsid w:val="007C509D"/>
    <w:rsid w:val="007D1075"/>
    <w:rsid w:val="007F05AC"/>
    <w:rsid w:val="007F0EAB"/>
    <w:rsid w:val="007F2771"/>
    <w:rsid w:val="007F4106"/>
    <w:rsid w:val="00807017"/>
    <w:rsid w:val="00815159"/>
    <w:rsid w:val="00826928"/>
    <w:rsid w:val="0084098D"/>
    <w:rsid w:val="00843175"/>
    <w:rsid w:val="0086517D"/>
    <w:rsid w:val="00866EC5"/>
    <w:rsid w:val="00882DB8"/>
    <w:rsid w:val="00884636"/>
    <w:rsid w:val="00897301"/>
    <w:rsid w:val="008B09A7"/>
    <w:rsid w:val="008B0E93"/>
    <w:rsid w:val="008B72D9"/>
    <w:rsid w:val="008E55E6"/>
    <w:rsid w:val="008F208F"/>
    <w:rsid w:val="00914DB2"/>
    <w:rsid w:val="009240FA"/>
    <w:rsid w:val="00943A5C"/>
    <w:rsid w:val="00953348"/>
    <w:rsid w:val="0095729C"/>
    <w:rsid w:val="00962320"/>
    <w:rsid w:val="00984D6A"/>
    <w:rsid w:val="00992086"/>
    <w:rsid w:val="00993002"/>
    <w:rsid w:val="009A7460"/>
    <w:rsid w:val="009B6F03"/>
    <w:rsid w:val="009D5C2A"/>
    <w:rsid w:val="009F4AF0"/>
    <w:rsid w:val="00A01CDF"/>
    <w:rsid w:val="00A07CCD"/>
    <w:rsid w:val="00A1194A"/>
    <w:rsid w:val="00A12F94"/>
    <w:rsid w:val="00A46653"/>
    <w:rsid w:val="00A5347E"/>
    <w:rsid w:val="00A56DAF"/>
    <w:rsid w:val="00A62A58"/>
    <w:rsid w:val="00A65DCB"/>
    <w:rsid w:val="00A71542"/>
    <w:rsid w:val="00A80CBD"/>
    <w:rsid w:val="00AA7411"/>
    <w:rsid w:val="00AC4926"/>
    <w:rsid w:val="00AE7956"/>
    <w:rsid w:val="00AF09B4"/>
    <w:rsid w:val="00AF7B9B"/>
    <w:rsid w:val="00B01D07"/>
    <w:rsid w:val="00B21E19"/>
    <w:rsid w:val="00B33B9E"/>
    <w:rsid w:val="00B45038"/>
    <w:rsid w:val="00B55F05"/>
    <w:rsid w:val="00B57023"/>
    <w:rsid w:val="00B67AF6"/>
    <w:rsid w:val="00B75B1C"/>
    <w:rsid w:val="00B808FA"/>
    <w:rsid w:val="00BA7EC0"/>
    <w:rsid w:val="00BB037E"/>
    <w:rsid w:val="00BB3386"/>
    <w:rsid w:val="00BC1132"/>
    <w:rsid w:val="00BD21B4"/>
    <w:rsid w:val="00BE4730"/>
    <w:rsid w:val="00BF3DCD"/>
    <w:rsid w:val="00BF6806"/>
    <w:rsid w:val="00C14818"/>
    <w:rsid w:val="00C173A7"/>
    <w:rsid w:val="00C25BD1"/>
    <w:rsid w:val="00C27F5E"/>
    <w:rsid w:val="00C3464A"/>
    <w:rsid w:val="00C4555F"/>
    <w:rsid w:val="00C76EEE"/>
    <w:rsid w:val="00C812CC"/>
    <w:rsid w:val="00C81C3D"/>
    <w:rsid w:val="00C900FF"/>
    <w:rsid w:val="00C903A2"/>
    <w:rsid w:val="00C9156E"/>
    <w:rsid w:val="00CA1702"/>
    <w:rsid w:val="00CA71EE"/>
    <w:rsid w:val="00CA7641"/>
    <w:rsid w:val="00CC294E"/>
    <w:rsid w:val="00CD6915"/>
    <w:rsid w:val="00D04060"/>
    <w:rsid w:val="00D0524B"/>
    <w:rsid w:val="00D40F1C"/>
    <w:rsid w:val="00D44737"/>
    <w:rsid w:val="00D44853"/>
    <w:rsid w:val="00D470C4"/>
    <w:rsid w:val="00D54796"/>
    <w:rsid w:val="00D62EC9"/>
    <w:rsid w:val="00D7158C"/>
    <w:rsid w:val="00D76C3E"/>
    <w:rsid w:val="00D902BB"/>
    <w:rsid w:val="00DC2BC1"/>
    <w:rsid w:val="00DC608F"/>
    <w:rsid w:val="00DC6338"/>
    <w:rsid w:val="00DD1C90"/>
    <w:rsid w:val="00DD3E47"/>
    <w:rsid w:val="00DD7EA7"/>
    <w:rsid w:val="00E23A86"/>
    <w:rsid w:val="00E23AFC"/>
    <w:rsid w:val="00E412DF"/>
    <w:rsid w:val="00E46B4C"/>
    <w:rsid w:val="00E53D92"/>
    <w:rsid w:val="00E67046"/>
    <w:rsid w:val="00E673ED"/>
    <w:rsid w:val="00E80A1B"/>
    <w:rsid w:val="00ED2F52"/>
    <w:rsid w:val="00F11469"/>
    <w:rsid w:val="00F1435C"/>
    <w:rsid w:val="00F25E5A"/>
    <w:rsid w:val="00F3076E"/>
    <w:rsid w:val="00F34846"/>
    <w:rsid w:val="00F34B5F"/>
    <w:rsid w:val="00F5018C"/>
    <w:rsid w:val="00F65328"/>
    <w:rsid w:val="00F67F3C"/>
    <w:rsid w:val="00F809CF"/>
    <w:rsid w:val="00F82ED4"/>
    <w:rsid w:val="00F83AC6"/>
    <w:rsid w:val="00F84AEC"/>
    <w:rsid w:val="00F92BE8"/>
    <w:rsid w:val="00F93792"/>
    <w:rsid w:val="00FA36D6"/>
    <w:rsid w:val="00FA78C5"/>
    <w:rsid w:val="00FE366F"/>
    <w:rsid w:val="00FF69A7"/>
    <w:rsid w:val="00FF6DD9"/>
    <w:rsid w:val="00FF7E66"/>
    <w:rsid w:val="03BC281B"/>
    <w:rsid w:val="55DC19E1"/>
    <w:rsid w:val="7AFE2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0" w:semiHidden="0" w:name="List Paragraph"/>
  </w:latentStyles>
  <w:style w:type="paragraph" w:default="1" w:styleId="1">
    <w:name w:val="Normal"/>
    <w:qFormat/>
    <w:uiPriority w:val="0"/>
    <w:pPr>
      <w:widowControl w:val="0"/>
      <w:spacing w:after="0" w:line="240" w:lineRule="auto"/>
    </w:pPr>
    <w:rPr>
      <w:rFonts w:ascii="Courier New" w:hAnsi="Courier New" w:eastAsia="Courier New" w:cs="Courier New"/>
      <w:color w:val="000000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rPr>
      <w:rFonts w:ascii="Tahoma" w:hAnsi="Tahoma" w:cs="Tahoma"/>
      <w:sz w:val="16"/>
      <w:szCs w:val="16"/>
    </w:rPr>
  </w:style>
  <w:style w:type="paragraph" w:styleId="5">
    <w:name w:val="header"/>
    <w:basedOn w:val="1"/>
    <w:link w:val="18"/>
    <w:unhideWhenUsed/>
    <w:uiPriority w:val="99"/>
    <w:pPr>
      <w:tabs>
        <w:tab w:val="center" w:pos="4677"/>
        <w:tab w:val="right" w:pos="9355"/>
      </w:tabs>
    </w:pPr>
  </w:style>
  <w:style w:type="paragraph" w:styleId="6">
    <w:name w:val="footer"/>
    <w:basedOn w:val="1"/>
    <w:link w:val="19"/>
    <w:unhideWhenUsed/>
    <w:uiPriority w:val="99"/>
    <w:pPr>
      <w:tabs>
        <w:tab w:val="center" w:pos="4677"/>
        <w:tab w:val="right" w:pos="9355"/>
      </w:tabs>
    </w:pPr>
  </w:style>
  <w:style w:type="paragraph" w:styleId="7">
    <w:name w:val="Normal (Web)"/>
    <w:basedOn w:val="1"/>
    <w:unhideWhenUsed/>
    <w:uiPriority w:val="99"/>
    <w:pPr>
      <w:widowControl/>
      <w:spacing w:before="100" w:beforeAutospacing="1" w:after="100" w:afterAutospacing="1"/>
    </w:pPr>
    <w:rPr>
      <w:rFonts w:ascii="Times New Roman" w:hAnsi="Times New Roman" w:eastAsia="Times New Roman" w:cs="Times New Roman"/>
      <w:color w:val="auto"/>
    </w:rPr>
  </w:style>
  <w:style w:type="table" w:styleId="8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9">
    <w:name w:val="No Spacing"/>
    <w:qFormat/>
    <w:uiPriority w:val="0"/>
    <w:pPr>
      <w:widowControl w:val="0"/>
      <w:spacing w:after="0" w:line="240" w:lineRule="auto"/>
    </w:pPr>
    <w:rPr>
      <w:rFonts w:ascii="Courier New" w:hAnsi="Courier New" w:eastAsia="Courier New" w:cs="Courier New"/>
      <w:color w:val="000000"/>
      <w:sz w:val="24"/>
      <w:szCs w:val="24"/>
      <w:lang w:val="ru-RU" w:eastAsia="ru-RU" w:bidi="ar-SA"/>
    </w:rPr>
  </w:style>
  <w:style w:type="character" w:customStyle="1" w:styleId="10">
    <w:name w:val="Основной текст_"/>
    <w:basedOn w:val="2"/>
    <w:link w:val="11"/>
    <w:qFormat/>
    <w:uiPriority w:val="0"/>
    <w:rPr>
      <w:rFonts w:ascii="Times New Roman" w:hAnsi="Times New Roman" w:eastAsia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3"/>
    <w:basedOn w:val="1"/>
    <w:link w:val="10"/>
    <w:uiPriority w:val="0"/>
    <w:pPr>
      <w:shd w:val="clear" w:color="auto" w:fill="FFFFFF"/>
      <w:spacing w:before="240" w:line="638" w:lineRule="exact"/>
      <w:ind w:hanging="1800"/>
      <w:jc w:val="center"/>
    </w:pPr>
    <w:rPr>
      <w:rFonts w:ascii="Times New Roman" w:hAnsi="Times New Roman" w:eastAsia="Times New Roman" w:cs="Times New Roman"/>
      <w:color w:val="auto"/>
      <w:sz w:val="27"/>
      <w:szCs w:val="27"/>
      <w:lang w:eastAsia="en-US"/>
    </w:rPr>
  </w:style>
  <w:style w:type="character" w:customStyle="1" w:styleId="12">
    <w:name w:val="Текст выноски Знак"/>
    <w:basedOn w:val="2"/>
    <w:link w:val="4"/>
    <w:semiHidden/>
    <w:uiPriority w:val="99"/>
    <w:rPr>
      <w:rFonts w:ascii="Tahoma" w:hAnsi="Tahoma" w:eastAsia="Courier New" w:cs="Tahoma"/>
      <w:color w:val="000000"/>
      <w:sz w:val="16"/>
      <w:szCs w:val="16"/>
      <w:lang w:eastAsia="ru-RU"/>
    </w:rPr>
  </w:style>
  <w:style w:type="character" w:customStyle="1" w:styleId="13">
    <w:name w:val="Absatz-Standardschriftart"/>
    <w:qFormat/>
    <w:uiPriority w:val="0"/>
  </w:style>
  <w:style w:type="paragraph" w:customStyle="1" w:styleId="14">
    <w:name w:val="Основной текст2"/>
    <w:basedOn w:val="1"/>
    <w:qFormat/>
    <w:uiPriority w:val="0"/>
    <w:pPr>
      <w:shd w:val="clear" w:color="auto" w:fill="FFFFFF"/>
      <w:spacing w:before="420" w:line="322" w:lineRule="exact"/>
      <w:ind w:hanging="360"/>
      <w:jc w:val="both"/>
    </w:pPr>
    <w:rPr>
      <w:rFonts w:ascii="Times New Roman" w:hAnsi="Times New Roman" w:eastAsia="Times New Roman" w:cs="Times New Roman"/>
      <w:color w:val="auto"/>
      <w:sz w:val="27"/>
      <w:szCs w:val="27"/>
      <w:lang w:eastAsia="en-US"/>
    </w:rPr>
  </w:style>
  <w:style w:type="character" w:customStyle="1" w:styleId="15">
    <w:name w:val="Основной текст + 11"/>
    <w:basedOn w:val="10"/>
    <w:qFormat/>
    <w:uiPriority w:val="0"/>
    <w:rPr>
      <w:rFonts w:ascii="Times New Roman" w:hAnsi="Times New Roman" w:eastAsia="Times New Roman" w:cs="Times New Roman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paragraph" w:styleId="16">
    <w:name w:val="List Paragraph"/>
    <w:basedOn w:val="1"/>
    <w:qFormat/>
    <w:uiPriority w:val="0"/>
    <w:pPr>
      <w:widowControl/>
      <w:suppressAutoHyphens/>
      <w:spacing w:after="200" w:line="276" w:lineRule="auto"/>
      <w:ind w:left="720"/>
    </w:pPr>
    <w:rPr>
      <w:rFonts w:ascii="Calibri" w:hAnsi="Calibri" w:eastAsia="Times New Roman" w:cs="Calibri"/>
      <w:color w:val="auto"/>
      <w:sz w:val="22"/>
      <w:szCs w:val="22"/>
      <w:lang w:eastAsia="ar-SA"/>
    </w:rPr>
  </w:style>
  <w:style w:type="paragraph" w:customStyle="1" w:styleId="17">
    <w:name w:val="ConsPlusNormal"/>
    <w:uiPriority w:val="0"/>
    <w:pPr>
      <w:widowControl w:val="0"/>
      <w:suppressAutoHyphens/>
      <w:autoSpaceDE w:val="0"/>
      <w:spacing w:after="0" w:line="240" w:lineRule="auto"/>
      <w:ind w:firstLine="720"/>
    </w:pPr>
    <w:rPr>
      <w:rFonts w:ascii="Arial" w:hAnsi="Arial" w:eastAsia="Times New Roman" w:cs="Arial"/>
      <w:sz w:val="20"/>
      <w:szCs w:val="20"/>
      <w:lang w:val="ru-RU" w:eastAsia="zh-CN" w:bidi="ar-SA"/>
    </w:rPr>
  </w:style>
  <w:style w:type="character" w:customStyle="1" w:styleId="18">
    <w:name w:val="Верхний колонтитул Знак"/>
    <w:basedOn w:val="2"/>
    <w:link w:val="5"/>
    <w:uiPriority w:val="99"/>
    <w:rPr>
      <w:rFonts w:ascii="Courier New" w:hAnsi="Courier New" w:eastAsia="Courier New" w:cs="Courier New"/>
      <w:color w:val="000000"/>
      <w:sz w:val="24"/>
      <w:szCs w:val="24"/>
      <w:lang w:eastAsia="ru-RU"/>
    </w:rPr>
  </w:style>
  <w:style w:type="character" w:customStyle="1" w:styleId="19">
    <w:name w:val="Нижний колонтитул Знак"/>
    <w:basedOn w:val="2"/>
    <w:link w:val="6"/>
    <w:qFormat/>
    <w:uiPriority w:val="99"/>
    <w:rPr>
      <w:rFonts w:ascii="Courier New" w:hAnsi="Courier New" w:eastAsia="Courier New" w:cs="Courier New"/>
      <w:color w:val="000000"/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FB16261E-19A8-45F3-A604-9E3BAF87381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23</Pages>
  <Words>6036</Words>
  <Characters>34411</Characters>
  <Lines>286</Lines>
  <Paragraphs>80</Paragraphs>
  <TotalTime>8</TotalTime>
  <ScaleCrop>false</ScaleCrop>
  <LinksUpToDate>false</LinksUpToDate>
  <CharactersWithSpaces>40367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2025-03-04T05:44:00Z</dcterms:created>
  <dc:creator>Елена</dc:creator>
  <cp:lastModifiedBy>User</cp:lastModifiedBy>
  <cp:lastPrinted>2024-07-26T05:21:00Z</cp:lastPrinted>
  <dcterms:modified xsi:type="dcterms:W3CDTF">2025-04-10T07:43:33Z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2AFCE321ACCF41F3916A3A2838ABE877_13</vt:lpwstr>
  </property>
</Properties>
</file>